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3483" w14:textId="77777777" w:rsidR="00051706" w:rsidRPr="00846DCD" w:rsidRDefault="00846DCD" w:rsidP="00846DCD">
      <w:pPr>
        <w:pStyle w:val="Geenafstand"/>
        <w:jc w:val="center"/>
        <w:rPr>
          <w:b/>
          <w:sz w:val="28"/>
          <w:szCs w:val="28"/>
        </w:rPr>
      </w:pPr>
      <w:r w:rsidRPr="00846DCD">
        <w:rPr>
          <w:b/>
          <w:sz w:val="28"/>
          <w:szCs w:val="28"/>
        </w:rPr>
        <w:t>Emissie inventaris rapport</w:t>
      </w:r>
    </w:p>
    <w:p w14:paraId="6E3F37F0" w14:textId="77777777" w:rsidR="00846DCD" w:rsidRDefault="00846DCD" w:rsidP="00AA6E37">
      <w:pPr>
        <w:pStyle w:val="Geenafstand"/>
        <w:rPr>
          <w:b/>
        </w:rPr>
      </w:pPr>
    </w:p>
    <w:p w14:paraId="0A51F4CB" w14:textId="77777777" w:rsidR="00846DCD" w:rsidRDefault="00846DCD" w:rsidP="00AA6E37">
      <w:pPr>
        <w:pStyle w:val="Geenafstand"/>
        <w:rPr>
          <w:b/>
        </w:rPr>
      </w:pPr>
    </w:p>
    <w:p w14:paraId="0528B3F1" w14:textId="77777777" w:rsidR="00846DCD" w:rsidRDefault="00846DCD" w:rsidP="00AA6E37">
      <w:pPr>
        <w:pStyle w:val="Geenafstand"/>
        <w:rPr>
          <w:b/>
        </w:rPr>
      </w:pPr>
    </w:p>
    <w:p w14:paraId="058BCDC4" w14:textId="77777777" w:rsidR="00846DCD" w:rsidRDefault="00846DCD" w:rsidP="00AA6E37">
      <w:pPr>
        <w:pStyle w:val="Geenafstand"/>
        <w:rPr>
          <w:b/>
        </w:rPr>
      </w:pPr>
    </w:p>
    <w:p w14:paraId="5F6187EE" w14:textId="77777777" w:rsidR="00846DCD" w:rsidRDefault="00846DCD" w:rsidP="00AA6E37">
      <w:pPr>
        <w:pStyle w:val="Geenafstand"/>
        <w:rPr>
          <w:b/>
        </w:rPr>
      </w:pPr>
    </w:p>
    <w:p w14:paraId="3BA8AA5A" w14:textId="77777777" w:rsidR="00846DCD" w:rsidRDefault="00846DCD" w:rsidP="00AA6E37">
      <w:pPr>
        <w:pStyle w:val="Geenafstand"/>
        <w:rPr>
          <w:b/>
        </w:rPr>
      </w:pPr>
    </w:p>
    <w:p w14:paraId="509BFFF5" w14:textId="77777777" w:rsidR="00846DCD" w:rsidRDefault="00846DCD" w:rsidP="00AA6E37">
      <w:pPr>
        <w:pStyle w:val="Geenafstand"/>
        <w:rPr>
          <w:b/>
        </w:rPr>
      </w:pPr>
    </w:p>
    <w:p w14:paraId="0BB73BDD" w14:textId="77777777" w:rsidR="00846DCD" w:rsidRDefault="00846DCD" w:rsidP="00AA6E37">
      <w:pPr>
        <w:pStyle w:val="Geenafstand"/>
        <w:rPr>
          <w:b/>
        </w:rPr>
      </w:pPr>
    </w:p>
    <w:p w14:paraId="4788FBC5" w14:textId="4F7CA95A" w:rsidR="00846DCD" w:rsidRDefault="004036ED" w:rsidP="00AA6E37">
      <w:pPr>
        <w:pStyle w:val="Geenafstand"/>
        <w:rPr>
          <w:b/>
        </w:rPr>
      </w:pPr>
      <w:r>
        <w:rPr>
          <w:b/>
          <w:noProof/>
        </w:rPr>
        <w:drawing>
          <wp:inline distT="0" distB="0" distL="0" distR="0" wp14:anchorId="7C79BED4" wp14:editId="38170EF1">
            <wp:extent cx="5760720" cy="135255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5760720" cy="1352550"/>
                    </a:xfrm>
                    <a:prstGeom prst="rect">
                      <a:avLst/>
                    </a:prstGeom>
                  </pic:spPr>
                </pic:pic>
              </a:graphicData>
            </a:graphic>
          </wp:inline>
        </w:drawing>
      </w:r>
    </w:p>
    <w:p w14:paraId="6D2F8483" w14:textId="77777777" w:rsidR="00846DCD" w:rsidRDefault="00846DCD" w:rsidP="00AA6E37">
      <w:pPr>
        <w:pStyle w:val="Geenafstand"/>
        <w:rPr>
          <w:b/>
        </w:rPr>
      </w:pPr>
    </w:p>
    <w:p w14:paraId="52FB8E86" w14:textId="77777777" w:rsidR="00846DCD" w:rsidRDefault="00846DCD" w:rsidP="00AA6E37">
      <w:pPr>
        <w:pStyle w:val="Geenafstand"/>
        <w:rPr>
          <w:b/>
        </w:rPr>
      </w:pPr>
    </w:p>
    <w:p w14:paraId="17978B1D" w14:textId="77777777" w:rsidR="00846DCD" w:rsidRDefault="00846DCD" w:rsidP="00AA6E37">
      <w:pPr>
        <w:pStyle w:val="Geenafstand"/>
        <w:rPr>
          <w:b/>
        </w:rPr>
      </w:pPr>
    </w:p>
    <w:p w14:paraId="2BC0A89C" w14:textId="77777777" w:rsidR="00846DCD" w:rsidRDefault="00846DCD" w:rsidP="00AA6E37">
      <w:pPr>
        <w:pStyle w:val="Geenafstand"/>
        <w:rPr>
          <w:b/>
        </w:rPr>
      </w:pPr>
    </w:p>
    <w:p w14:paraId="191130AE" w14:textId="77777777" w:rsidR="00846DCD" w:rsidRDefault="00846DCD" w:rsidP="00AA6E37">
      <w:pPr>
        <w:pStyle w:val="Geenafstand"/>
        <w:rPr>
          <w:b/>
        </w:rPr>
      </w:pPr>
    </w:p>
    <w:p w14:paraId="43854C0B" w14:textId="77777777" w:rsidR="00846DCD" w:rsidRDefault="00846DCD" w:rsidP="00AA6E37">
      <w:pPr>
        <w:pStyle w:val="Geenafstand"/>
        <w:rPr>
          <w:b/>
        </w:rPr>
      </w:pPr>
    </w:p>
    <w:sdt>
      <w:sdtPr>
        <w:rPr>
          <w:rFonts w:ascii="Calibri" w:eastAsiaTheme="minorHAnsi" w:hAnsi="Calibri" w:cstheme="minorBidi"/>
          <w:color w:val="0B3B60"/>
          <w:sz w:val="22"/>
          <w:szCs w:val="22"/>
          <w:lang w:eastAsia="en-US"/>
        </w:rPr>
        <w:id w:val="-1012073116"/>
        <w:docPartObj>
          <w:docPartGallery w:val="Table of Contents"/>
          <w:docPartUnique/>
        </w:docPartObj>
      </w:sdtPr>
      <w:sdtEndPr>
        <w:rPr>
          <w:b/>
          <w:bCs/>
        </w:rPr>
      </w:sdtEndPr>
      <w:sdtContent>
        <w:p w14:paraId="6BC30AC0" w14:textId="77777777" w:rsidR="00846DCD" w:rsidRDefault="00846DCD">
          <w:pPr>
            <w:pStyle w:val="Kopvaninhoudsopgave"/>
          </w:pPr>
        </w:p>
        <w:p w14:paraId="63862A80" w14:textId="525AF230" w:rsidR="002A4790" w:rsidRDefault="00846DCD">
          <w:pPr>
            <w:pStyle w:val="Inhopg1"/>
            <w:tabs>
              <w:tab w:val="left" w:pos="440"/>
              <w:tab w:val="right" w:leader="dot" w:pos="9062"/>
            </w:tabs>
            <w:rPr>
              <w:rFonts w:asciiTheme="minorHAnsi" w:eastAsiaTheme="minorEastAsia" w:hAnsiTheme="minorHAnsi"/>
              <w:noProof/>
              <w:color w:val="auto"/>
              <w:lang w:eastAsia="nl-NL"/>
            </w:rPr>
          </w:pPr>
          <w:r>
            <w:fldChar w:fldCharType="begin"/>
          </w:r>
          <w:r>
            <w:instrText xml:space="preserve"> TOC \o "1-3" \h \z \u </w:instrText>
          </w:r>
          <w:r>
            <w:fldChar w:fldCharType="separate"/>
          </w:r>
          <w:hyperlink w:anchor="_Toc88559534" w:history="1">
            <w:r w:rsidR="002A4790" w:rsidRPr="000A4C29">
              <w:rPr>
                <w:rStyle w:val="Hyperlink"/>
                <w:noProof/>
              </w:rPr>
              <w:t>1.</w:t>
            </w:r>
            <w:r w:rsidR="002A4790">
              <w:rPr>
                <w:rFonts w:asciiTheme="minorHAnsi" w:eastAsiaTheme="minorEastAsia" w:hAnsiTheme="minorHAnsi"/>
                <w:noProof/>
                <w:color w:val="auto"/>
                <w:lang w:eastAsia="nl-NL"/>
              </w:rPr>
              <w:tab/>
            </w:r>
            <w:r w:rsidR="002A4790" w:rsidRPr="000A4C29">
              <w:rPr>
                <w:rStyle w:val="Hyperlink"/>
                <w:noProof/>
              </w:rPr>
              <w:t>Inleiding en verantwoording</w:t>
            </w:r>
            <w:r w:rsidR="002A4790">
              <w:rPr>
                <w:noProof/>
                <w:webHidden/>
              </w:rPr>
              <w:tab/>
            </w:r>
            <w:r w:rsidR="002A4790">
              <w:rPr>
                <w:noProof/>
                <w:webHidden/>
              </w:rPr>
              <w:fldChar w:fldCharType="begin"/>
            </w:r>
            <w:r w:rsidR="002A4790">
              <w:rPr>
                <w:noProof/>
                <w:webHidden/>
              </w:rPr>
              <w:instrText xml:space="preserve"> PAGEREF _Toc88559534 \h </w:instrText>
            </w:r>
            <w:r w:rsidR="002A4790">
              <w:rPr>
                <w:noProof/>
                <w:webHidden/>
              </w:rPr>
            </w:r>
            <w:r w:rsidR="002A4790">
              <w:rPr>
                <w:noProof/>
                <w:webHidden/>
              </w:rPr>
              <w:fldChar w:fldCharType="separate"/>
            </w:r>
            <w:r w:rsidR="00492563">
              <w:rPr>
                <w:noProof/>
                <w:webHidden/>
              </w:rPr>
              <w:t>2</w:t>
            </w:r>
            <w:r w:rsidR="002A4790">
              <w:rPr>
                <w:noProof/>
                <w:webHidden/>
              </w:rPr>
              <w:fldChar w:fldCharType="end"/>
            </w:r>
          </w:hyperlink>
        </w:p>
        <w:p w14:paraId="2D1956B4" w14:textId="4AA146E9" w:rsidR="002A4790" w:rsidRDefault="00492563">
          <w:pPr>
            <w:pStyle w:val="Inhopg1"/>
            <w:tabs>
              <w:tab w:val="left" w:pos="440"/>
              <w:tab w:val="right" w:leader="dot" w:pos="9062"/>
            </w:tabs>
            <w:rPr>
              <w:rFonts w:asciiTheme="minorHAnsi" w:eastAsiaTheme="minorEastAsia" w:hAnsiTheme="minorHAnsi"/>
              <w:noProof/>
              <w:color w:val="auto"/>
              <w:lang w:eastAsia="nl-NL"/>
            </w:rPr>
          </w:pPr>
          <w:hyperlink w:anchor="_Toc88559535" w:history="1">
            <w:r w:rsidR="002A4790" w:rsidRPr="000A4C29">
              <w:rPr>
                <w:rStyle w:val="Hyperlink"/>
                <w:noProof/>
              </w:rPr>
              <w:t>2.</w:t>
            </w:r>
            <w:r w:rsidR="002A4790">
              <w:rPr>
                <w:rFonts w:asciiTheme="minorHAnsi" w:eastAsiaTheme="minorEastAsia" w:hAnsiTheme="minorHAnsi"/>
                <w:noProof/>
                <w:color w:val="auto"/>
                <w:lang w:eastAsia="nl-NL"/>
              </w:rPr>
              <w:tab/>
            </w:r>
            <w:r w:rsidR="002A4790" w:rsidRPr="000A4C29">
              <w:rPr>
                <w:rStyle w:val="Hyperlink"/>
                <w:noProof/>
              </w:rPr>
              <w:t>Beschrijving van de organisatie</w:t>
            </w:r>
            <w:r w:rsidR="002A4790">
              <w:rPr>
                <w:noProof/>
                <w:webHidden/>
              </w:rPr>
              <w:tab/>
            </w:r>
            <w:r w:rsidR="002A4790">
              <w:rPr>
                <w:noProof/>
                <w:webHidden/>
              </w:rPr>
              <w:fldChar w:fldCharType="begin"/>
            </w:r>
            <w:r w:rsidR="002A4790">
              <w:rPr>
                <w:noProof/>
                <w:webHidden/>
              </w:rPr>
              <w:instrText xml:space="preserve"> PAGEREF _Toc88559535 \h </w:instrText>
            </w:r>
            <w:r w:rsidR="002A4790">
              <w:rPr>
                <w:noProof/>
                <w:webHidden/>
              </w:rPr>
            </w:r>
            <w:r w:rsidR="002A4790">
              <w:rPr>
                <w:noProof/>
                <w:webHidden/>
              </w:rPr>
              <w:fldChar w:fldCharType="separate"/>
            </w:r>
            <w:r>
              <w:rPr>
                <w:noProof/>
                <w:webHidden/>
              </w:rPr>
              <w:t>2</w:t>
            </w:r>
            <w:r w:rsidR="002A4790">
              <w:rPr>
                <w:noProof/>
                <w:webHidden/>
              </w:rPr>
              <w:fldChar w:fldCharType="end"/>
            </w:r>
          </w:hyperlink>
        </w:p>
        <w:p w14:paraId="402007F0" w14:textId="7389AB9E" w:rsidR="002A4790" w:rsidRDefault="00492563">
          <w:pPr>
            <w:pStyle w:val="Inhopg1"/>
            <w:tabs>
              <w:tab w:val="left" w:pos="440"/>
              <w:tab w:val="right" w:leader="dot" w:pos="9062"/>
            </w:tabs>
            <w:rPr>
              <w:rFonts w:asciiTheme="minorHAnsi" w:eastAsiaTheme="minorEastAsia" w:hAnsiTheme="minorHAnsi"/>
              <w:noProof/>
              <w:color w:val="auto"/>
              <w:lang w:eastAsia="nl-NL"/>
            </w:rPr>
          </w:pPr>
          <w:hyperlink w:anchor="_Toc88559536" w:history="1">
            <w:r w:rsidR="002A4790" w:rsidRPr="000A4C29">
              <w:rPr>
                <w:rStyle w:val="Hyperlink"/>
                <w:noProof/>
              </w:rPr>
              <w:t>3.</w:t>
            </w:r>
            <w:r w:rsidR="002A4790">
              <w:rPr>
                <w:rFonts w:asciiTheme="minorHAnsi" w:eastAsiaTheme="minorEastAsia" w:hAnsiTheme="minorHAnsi"/>
                <w:noProof/>
                <w:color w:val="auto"/>
                <w:lang w:eastAsia="nl-NL"/>
              </w:rPr>
              <w:tab/>
            </w:r>
            <w:r w:rsidR="002A4790" w:rsidRPr="000A4C29">
              <w:rPr>
                <w:rStyle w:val="Hyperlink"/>
                <w:noProof/>
              </w:rPr>
              <w:t>Verantwoordelijke</w:t>
            </w:r>
            <w:r w:rsidR="002A4790">
              <w:rPr>
                <w:noProof/>
                <w:webHidden/>
              </w:rPr>
              <w:tab/>
            </w:r>
            <w:r w:rsidR="002A4790">
              <w:rPr>
                <w:noProof/>
                <w:webHidden/>
              </w:rPr>
              <w:fldChar w:fldCharType="begin"/>
            </w:r>
            <w:r w:rsidR="002A4790">
              <w:rPr>
                <w:noProof/>
                <w:webHidden/>
              </w:rPr>
              <w:instrText xml:space="preserve"> PAGEREF _Toc88559536 \h </w:instrText>
            </w:r>
            <w:r w:rsidR="002A4790">
              <w:rPr>
                <w:noProof/>
                <w:webHidden/>
              </w:rPr>
            </w:r>
            <w:r w:rsidR="002A4790">
              <w:rPr>
                <w:noProof/>
                <w:webHidden/>
              </w:rPr>
              <w:fldChar w:fldCharType="separate"/>
            </w:r>
            <w:r>
              <w:rPr>
                <w:noProof/>
                <w:webHidden/>
              </w:rPr>
              <w:t>2</w:t>
            </w:r>
            <w:r w:rsidR="002A4790">
              <w:rPr>
                <w:noProof/>
                <w:webHidden/>
              </w:rPr>
              <w:fldChar w:fldCharType="end"/>
            </w:r>
          </w:hyperlink>
        </w:p>
        <w:p w14:paraId="27DD6625" w14:textId="54A3EDEC" w:rsidR="002A4790" w:rsidRDefault="00492563">
          <w:pPr>
            <w:pStyle w:val="Inhopg1"/>
            <w:tabs>
              <w:tab w:val="left" w:pos="440"/>
              <w:tab w:val="right" w:leader="dot" w:pos="9062"/>
            </w:tabs>
            <w:rPr>
              <w:rFonts w:asciiTheme="minorHAnsi" w:eastAsiaTheme="minorEastAsia" w:hAnsiTheme="minorHAnsi"/>
              <w:noProof/>
              <w:color w:val="auto"/>
              <w:lang w:eastAsia="nl-NL"/>
            </w:rPr>
          </w:pPr>
          <w:hyperlink w:anchor="_Toc88559537" w:history="1">
            <w:r w:rsidR="002A4790" w:rsidRPr="000A4C29">
              <w:rPr>
                <w:rStyle w:val="Hyperlink"/>
                <w:noProof/>
              </w:rPr>
              <w:t>4.</w:t>
            </w:r>
            <w:r w:rsidR="002A4790">
              <w:rPr>
                <w:rFonts w:asciiTheme="minorHAnsi" w:eastAsiaTheme="minorEastAsia" w:hAnsiTheme="minorHAnsi"/>
                <w:noProof/>
                <w:color w:val="auto"/>
                <w:lang w:eastAsia="nl-NL"/>
              </w:rPr>
              <w:tab/>
            </w:r>
            <w:r w:rsidR="002A4790" w:rsidRPr="000A4C29">
              <w:rPr>
                <w:rStyle w:val="Hyperlink"/>
                <w:noProof/>
              </w:rPr>
              <w:t>Basisjaar en rapportage</w:t>
            </w:r>
            <w:r w:rsidR="002A4790">
              <w:rPr>
                <w:noProof/>
                <w:webHidden/>
              </w:rPr>
              <w:tab/>
            </w:r>
            <w:r w:rsidR="002A4790">
              <w:rPr>
                <w:noProof/>
                <w:webHidden/>
              </w:rPr>
              <w:fldChar w:fldCharType="begin"/>
            </w:r>
            <w:r w:rsidR="002A4790">
              <w:rPr>
                <w:noProof/>
                <w:webHidden/>
              </w:rPr>
              <w:instrText xml:space="preserve"> PAGEREF _Toc88559537 \h </w:instrText>
            </w:r>
            <w:r w:rsidR="002A4790">
              <w:rPr>
                <w:noProof/>
                <w:webHidden/>
              </w:rPr>
            </w:r>
            <w:r w:rsidR="002A4790">
              <w:rPr>
                <w:noProof/>
                <w:webHidden/>
              </w:rPr>
              <w:fldChar w:fldCharType="separate"/>
            </w:r>
            <w:r>
              <w:rPr>
                <w:noProof/>
                <w:webHidden/>
              </w:rPr>
              <w:t>2</w:t>
            </w:r>
            <w:r w:rsidR="002A4790">
              <w:rPr>
                <w:noProof/>
                <w:webHidden/>
              </w:rPr>
              <w:fldChar w:fldCharType="end"/>
            </w:r>
          </w:hyperlink>
        </w:p>
        <w:p w14:paraId="73A458C1" w14:textId="70F7CF26" w:rsidR="002A4790" w:rsidRDefault="00492563">
          <w:pPr>
            <w:pStyle w:val="Inhopg1"/>
            <w:tabs>
              <w:tab w:val="left" w:pos="440"/>
              <w:tab w:val="right" w:leader="dot" w:pos="9062"/>
            </w:tabs>
            <w:rPr>
              <w:rFonts w:asciiTheme="minorHAnsi" w:eastAsiaTheme="minorEastAsia" w:hAnsiTheme="minorHAnsi"/>
              <w:noProof/>
              <w:color w:val="auto"/>
              <w:lang w:eastAsia="nl-NL"/>
            </w:rPr>
          </w:pPr>
          <w:hyperlink w:anchor="_Toc88559538" w:history="1">
            <w:r w:rsidR="002A4790" w:rsidRPr="000A4C29">
              <w:rPr>
                <w:rStyle w:val="Hyperlink"/>
                <w:noProof/>
              </w:rPr>
              <w:t>5.</w:t>
            </w:r>
            <w:r w:rsidR="002A4790">
              <w:rPr>
                <w:rFonts w:asciiTheme="minorHAnsi" w:eastAsiaTheme="minorEastAsia" w:hAnsiTheme="minorHAnsi"/>
                <w:noProof/>
                <w:color w:val="auto"/>
                <w:lang w:eastAsia="nl-NL"/>
              </w:rPr>
              <w:tab/>
            </w:r>
            <w:r w:rsidR="002A4790" w:rsidRPr="000A4C29">
              <w:rPr>
                <w:rStyle w:val="Hyperlink"/>
                <w:noProof/>
              </w:rPr>
              <w:t>Afbakening</w:t>
            </w:r>
            <w:r w:rsidR="002A4790">
              <w:rPr>
                <w:noProof/>
                <w:webHidden/>
              </w:rPr>
              <w:tab/>
            </w:r>
            <w:r w:rsidR="002A4790">
              <w:rPr>
                <w:noProof/>
                <w:webHidden/>
              </w:rPr>
              <w:fldChar w:fldCharType="begin"/>
            </w:r>
            <w:r w:rsidR="002A4790">
              <w:rPr>
                <w:noProof/>
                <w:webHidden/>
              </w:rPr>
              <w:instrText xml:space="preserve"> PAGEREF _Toc88559538 \h </w:instrText>
            </w:r>
            <w:r w:rsidR="002A4790">
              <w:rPr>
                <w:noProof/>
                <w:webHidden/>
              </w:rPr>
            </w:r>
            <w:r w:rsidR="002A4790">
              <w:rPr>
                <w:noProof/>
                <w:webHidden/>
              </w:rPr>
              <w:fldChar w:fldCharType="separate"/>
            </w:r>
            <w:r>
              <w:rPr>
                <w:noProof/>
                <w:webHidden/>
              </w:rPr>
              <w:t>2</w:t>
            </w:r>
            <w:r w:rsidR="002A4790">
              <w:rPr>
                <w:noProof/>
                <w:webHidden/>
              </w:rPr>
              <w:fldChar w:fldCharType="end"/>
            </w:r>
          </w:hyperlink>
        </w:p>
        <w:p w14:paraId="02EDD09D" w14:textId="4EDEED17" w:rsidR="002A4790" w:rsidRDefault="00492563">
          <w:pPr>
            <w:pStyle w:val="Inhopg1"/>
            <w:tabs>
              <w:tab w:val="left" w:pos="440"/>
              <w:tab w:val="right" w:leader="dot" w:pos="9062"/>
            </w:tabs>
            <w:rPr>
              <w:rFonts w:asciiTheme="minorHAnsi" w:eastAsiaTheme="minorEastAsia" w:hAnsiTheme="minorHAnsi"/>
              <w:noProof/>
              <w:color w:val="auto"/>
              <w:lang w:eastAsia="nl-NL"/>
            </w:rPr>
          </w:pPr>
          <w:hyperlink w:anchor="_Toc88559539" w:history="1">
            <w:r w:rsidR="002A4790" w:rsidRPr="000A4C29">
              <w:rPr>
                <w:rStyle w:val="Hyperlink"/>
                <w:noProof/>
              </w:rPr>
              <w:t>6.</w:t>
            </w:r>
            <w:r w:rsidR="002A4790">
              <w:rPr>
                <w:rFonts w:asciiTheme="minorHAnsi" w:eastAsiaTheme="minorEastAsia" w:hAnsiTheme="minorHAnsi"/>
                <w:noProof/>
                <w:color w:val="auto"/>
                <w:lang w:eastAsia="nl-NL"/>
              </w:rPr>
              <w:tab/>
            </w:r>
            <w:r w:rsidR="002A4790" w:rsidRPr="000A4C29">
              <w:rPr>
                <w:rStyle w:val="Hyperlink"/>
                <w:noProof/>
              </w:rPr>
              <w:t>Directe en indirecte GHG-emissies</w:t>
            </w:r>
            <w:r w:rsidR="002A4790">
              <w:rPr>
                <w:noProof/>
                <w:webHidden/>
              </w:rPr>
              <w:tab/>
            </w:r>
            <w:r w:rsidR="002A4790">
              <w:rPr>
                <w:noProof/>
                <w:webHidden/>
              </w:rPr>
              <w:fldChar w:fldCharType="begin"/>
            </w:r>
            <w:r w:rsidR="002A4790">
              <w:rPr>
                <w:noProof/>
                <w:webHidden/>
              </w:rPr>
              <w:instrText xml:space="preserve"> PAGEREF _Toc88559539 \h </w:instrText>
            </w:r>
            <w:r w:rsidR="002A4790">
              <w:rPr>
                <w:noProof/>
                <w:webHidden/>
              </w:rPr>
            </w:r>
            <w:r w:rsidR="002A4790">
              <w:rPr>
                <w:noProof/>
                <w:webHidden/>
              </w:rPr>
              <w:fldChar w:fldCharType="separate"/>
            </w:r>
            <w:r>
              <w:rPr>
                <w:noProof/>
                <w:webHidden/>
              </w:rPr>
              <w:t>3</w:t>
            </w:r>
            <w:r w:rsidR="002A4790">
              <w:rPr>
                <w:noProof/>
                <w:webHidden/>
              </w:rPr>
              <w:fldChar w:fldCharType="end"/>
            </w:r>
          </w:hyperlink>
        </w:p>
        <w:p w14:paraId="7868CB1B" w14:textId="3214EC25" w:rsidR="002A4790" w:rsidRDefault="00492563">
          <w:pPr>
            <w:pStyle w:val="Inhopg1"/>
            <w:tabs>
              <w:tab w:val="left" w:pos="440"/>
              <w:tab w:val="right" w:leader="dot" w:pos="9062"/>
            </w:tabs>
            <w:rPr>
              <w:rFonts w:asciiTheme="minorHAnsi" w:eastAsiaTheme="minorEastAsia" w:hAnsiTheme="minorHAnsi"/>
              <w:noProof/>
              <w:color w:val="auto"/>
              <w:lang w:eastAsia="nl-NL"/>
            </w:rPr>
          </w:pPr>
          <w:hyperlink w:anchor="_Toc88559540" w:history="1">
            <w:r w:rsidR="002A4790" w:rsidRPr="000A4C29">
              <w:rPr>
                <w:rStyle w:val="Hyperlink"/>
                <w:noProof/>
              </w:rPr>
              <w:t>7.</w:t>
            </w:r>
            <w:r w:rsidR="002A4790">
              <w:rPr>
                <w:rFonts w:asciiTheme="minorHAnsi" w:eastAsiaTheme="minorEastAsia" w:hAnsiTheme="minorHAnsi"/>
                <w:noProof/>
                <w:color w:val="auto"/>
                <w:lang w:eastAsia="nl-NL"/>
              </w:rPr>
              <w:tab/>
            </w:r>
            <w:r w:rsidR="002A4790" w:rsidRPr="000A4C29">
              <w:rPr>
                <w:rStyle w:val="Hyperlink"/>
                <w:noProof/>
              </w:rPr>
              <w:t>Kwantificeringsmethoden</w:t>
            </w:r>
            <w:r w:rsidR="002A4790">
              <w:rPr>
                <w:noProof/>
                <w:webHidden/>
              </w:rPr>
              <w:tab/>
            </w:r>
            <w:r w:rsidR="002A4790">
              <w:rPr>
                <w:noProof/>
                <w:webHidden/>
              </w:rPr>
              <w:fldChar w:fldCharType="begin"/>
            </w:r>
            <w:r w:rsidR="002A4790">
              <w:rPr>
                <w:noProof/>
                <w:webHidden/>
              </w:rPr>
              <w:instrText xml:space="preserve"> PAGEREF _Toc88559540 \h </w:instrText>
            </w:r>
            <w:r w:rsidR="002A4790">
              <w:rPr>
                <w:noProof/>
                <w:webHidden/>
              </w:rPr>
            </w:r>
            <w:r w:rsidR="002A4790">
              <w:rPr>
                <w:noProof/>
                <w:webHidden/>
              </w:rPr>
              <w:fldChar w:fldCharType="separate"/>
            </w:r>
            <w:r>
              <w:rPr>
                <w:noProof/>
                <w:webHidden/>
              </w:rPr>
              <w:t>4</w:t>
            </w:r>
            <w:r w:rsidR="002A4790">
              <w:rPr>
                <w:noProof/>
                <w:webHidden/>
              </w:rPr>
              <w:fldChar w:fldCharType="end"/>
            </w:r>
          </w:hyperlink>
        </w:p>
        <w:p w14:paraId="6744D43A" w14:textId="03486606" w:rsidR="002A4790" w:rsidRDefault="00492563">
          <w:pPr>
            <w:pStyle w:val="Inhopg1"/>
            <w:tabs>
              <w:tab w:val="left" w:pos="440"/>
              <w:tab w:val="right" w:leader="dot" w:pos="9062"/>
            </w:tabs>
            <w:rPr>
              <w:rFonts w:asciiTheme="minorHAnsi" w:eastAsiaTheme="minorEastAsia" w:hAnsiTheme="minorHAnsi"/>
              <w:noProof/>
              <w:color w:val="auto"/>
              <w:lang w:eastAsia="nl-NL"/>
            </w:rPr>
          </w:pPr>
          <w:hyperlink w:anchor="_Toc88559541" w:history="1">
            <w:r w:rsidR="002A4790" w:rsidRPr="000A4C29">
              <w:rPr>
                <w:rStyle w:val="Hyperlink"/>
                <w:noProof/>
              </w:rPr>
              <w:t>8.</w:t>
            </w:r>
            <w:r w:rsidR="002A4790">
              <w:rPr>
                <w:rFonts w:asciiTheme="minorHAnsi" w:eastAsiaTheme="minorEastAsia" w:hAnsiTheme="minorHAnsi"/>
                <w:noProof/>
                <w:color w:val="auto"/>
                <w:lang w:eastAsia="nl-NL"/>
              </w:rPr>
              <w:tab/>
            </w:r>
            <w:r w:rsidR="002A4790" w:rsidRPr="000A4C29">
              <w:rPr>
                <w:rStyle w:val="Hyperlink"/>
                <w:noProof/>
              </w:rPr>
              <w:t>Emissiefactoren</w:t>
            </w:r>
            <w:r w:rsidR="002A4790">
              <w:rPr>
                <w:noProof/>
                <w:webHidden/>
              </w:rPr>
              <w:tab/>
            </w:r>
            <w:r w:rsidR="002A4790">
              <w:rPr>
                <w:noProof/>
                <w:webHidden/>
              </w:rPr>
              <w:fldChar w:fldCharType="begin"/>
            </w:r>
            <w:r w:rsidR="002A4790">
              <w:rPr>
                <w:noProof/>
                <w:webHidden/>
              </w:rPr>
              <w:instrText xml:space="preserve"> PAGEREF _Toc88559541 \h </w:instrText>
            </w:r>
            <w:r w:rsidR="002A4790">
              <w:rPr>
                <w:noProof/>
                <w:webHidden/>
              </w:rPr>
            </w:r>
            <w:r w:rsidR="002A4790">
              <w:rPr>
                <w:noProof/>
                <w:webHidden/>
              </w:rPr>
              <w:fldChar w:fldCharType="separate"/>
            </w:r>
            <w:r>
              <w:rPr>
                <w:noProof/>
                <w:webHidden/>
              </w:rPr>
              <w:t>4</w:t>
            </w:r>
            <w:r w:rsidR="002A4790">
              <w:rPr>
                <w:noProof/>
                <w:webHidden/>
              </w:rPr>
              <w:fldChar w:fldCharType="end"/>
            </w:r>
          </w:hyperlink>
        </w:p>
        <w:p w14:paraId="568EAAEE" w14:textId="14A22D54" w:rsidR="002A4790" w:rsidRDefault="00492563">
          <w:pPr>
            <w:pStyle w:val="Inhopg1"/>
            <w:tabs>
              <w:tab w:val="left" w:pos="440"/>
              <w:tab w:val="right" w:leader="dot" w:pos="9062"/>
            </w:tabs>
            <w:rPr>
              <w:rFonts w:asciiTheme="minorHAnsi" w:eastAsiaTheme="minorEastAsia" w:hAnsiTheme="minorHAnsi"/>
              <w:noProof/>
              <w:color w:val="auto"/>
              <w:lang w:eastAsia="nl-NL"/>
            </w:rPr>
          </w:pPr>
          <w:hyperlink w:anchor="_Toc88559542" w:history="1">
            <w:r w:rsidR="002A4790" w:rsidRPr="000A4C29">
              <w:rPr>
                <w:rStyle w:val="Hyperlink"/>
                <w:noProof/>
              </w:rPr>
              <w:t>9.</w:t>
            </w:r>
            <w:r w:rsidR="002A4790">
              <w:rPr>
                <w:rFonts w:asciiTheme="minorHAnsi" w:eastAsiaTheme="minorEastAsia" w:hAnsiTheme="minorHAnsi"/>
                <w:noProof/>
                <w:color w:val="auto"/>
                <w:lang w:eastAsia="nl-NL"/>
              </w:rPr>
              <w:tab/>
            </w:r>
            <w:r w:rsidR="002A4790" w:rsidRPr="000A4C29">
              <w:rPr>
                <w:rStyle w:val="Hyperlink"/>
                <w:noProof/>
              </w:rPr>
              <w:t>Onzekerheden</w:t>
            </w:r>
            <w:r w:rsidR="002A4790">
              <w:rPr>
                <w:noProof/>
                <w:webHidden/>
              </w:rPr>
              <w:tab/>
            </w:r>
            <w:r w:rsidR="002A4790">
              <w:rPr>
                <w:noProof/>
                <w:webHidden/>
              </w:rPr>
              <w:fldChar w:fldCharType="begin"/>
            </w:r>
            <w:r w:rsidR="002A4790">
              <w:rPr>
                <w:noProof/>
                <w:webHidden/>
              </w:rPr>
              <w:instrText xml:space="preserve"> PAGEREF _Toc88559542 \h </w:instrText>
            </w:r>
            <w:r w:rsidR="002A4790">
              <w:rPr>
                <w:noProof/>
                <w:webHidden/>
              </w:rPr>
            </w:r>
            <w:r w:rsidR="002A4790">
              <w:rPr>
                <w:noProof/>
                <w:webHidden/>
              </w:rPr>
              <w:fldChar w:fldCharType="separate"/>
            </w:r>
            <w:r>
              <w:rPr>
                <w:noProof/>
                <w:webHidden/>
              </w:rPr>
              <w:t>5</w:t>
            </w:r>
            <w:r w:rsidR="002A4790">
              <w:rPr>
                <w:noProof/>
                <w:webHidden/>
              </w:rPr>
              <w:fldChar w:fldCharType="end"/>
            </w:r>
          </w:hyperlink>
        </w:p>
        <w:p w14:paraId="3A4061F3" w14:textId="39331887" w:rsidR="002A4790" w:rsidRDefault="00492563">
          <w:pPr>
            <w:pStyle w:val="Inhopg1"/>
            <w:tabs>
              <w:tab w:val="left" w:pos="660"/>
              <w:tab w:val="right" w:leader="dot" w:pos="9062"/>
            </w:tabs>
            <w:rPr>
              <w:rFonts w:asciiTheme="minorHAnsi" w:eastAsiaTheme="minorEastAsia" w:hAnsiTheme="minorHAnsi"/>
              <w:noProof/>
              <w:color w:val="auto"/>
              <w:lang w:eastAsia="nl-NL"/>
            </w:rPr>
          </w:pPr>
          <w:hyperlink w:anchor="_Toc88559543" w:history="1">
            <w:r w:rsidR="002A4790" w:rsidRPr="000A4C29">
              <w:rPr>
                <w:rStyle w:val="Hyperlink"/>
                <w:noProof/>
              </w:rPr>
              <w:t>10.</w:t>
            </w:r>
            <w:r w:rsidR="002A4790">
              <w:rPr>
                <w:rFonts w:asciiTheme="minorHAnsi" w:eastAsiaTheme="minorEastAsia" w:hAnsiTheme="minorHAnsi"/>
                <w:noProof/>
                <w:color w:val="auto"/>
                <w:lang w:eastAsia="nl-NL"/>
              </w:rPr>
              <w:tab/>
            </w:r>
            <w:r w:rsidR="002A4790" w:rsidRPr="000A4C29">
              <w:rPr>
                <w:rStyle w:val="Hyperlink"/>
                <w:noProof/>
              </w:rPr>
              <w:t>Rapportage volgens ISO 14064 deel 9</w:t>
            </w:r>
            <w:r w:rsidR="002A4790">
              <w:rPr>
                <w:noProof/>
                <w:webHidden/>
              </w:rPr>
              <w:tab/>
            </w:r>
            <w:r w:rsidR="002A4790">
              <w:rPr>
                <w:noProof/>
                <w:webHidden/>
              </w:rPr>
              <w:fldChar w:fldCharType="begin"/>
            </w:r>
            <w:r w:rsidR="002A4790">
              <w:rPr>
                <w:noProof/>
                <w:webHidden/>
              </w:rPr>
              <w:instrText xml:space="preserve"> PAGEREF _Toc88559543 \h </w:instrText>
            </w:r>
            <w:r w:rsidR="002A4790">
              <w:rPr>
                <w:noProof/>
                <w:webHidden/>
              </w:rPr>
            </w:r>
            <w:r w:rsidR="002A4790">
              <w:rPr>
                <w:noProof/>
                <w:webHidden/>
              </w:rPr>
              <w:fldChar w:fldCharType="separate"/>
            </w:r>
            <w:r>
              <w:rPr>
                <w:noProof/>
                <w:webHidden/>
              </w:rPr>
              <w:t>5</w:t>
            </w:r>
            <w:r w:rsidR="002A4790">
              <w:rPr>
                <w:noProof/>
                <w:webHidden/>
              </w:rPr>
              <w:fldChar w:fldCharType="end"/>
            </w:r>
          </w:hyperlink>
        </w:p>
        <w:p w14:paraId="0D2F87E6" w14:textId="52FA79EC" w:rsidR="00846DCD" w:rsidRDefault="00846DCD">
          <w:r>
            <w:rPr>
              <w:b/>
              <w:bCs/>
            </w:rPr>
            <w:fldChar w:fldCharType="end"/>
          </w:r>
        </w:p>
      </w:sdtContent>
    </w:sdt>
    <w:p w14:paraId="737D30C8" w14:textId="77777777" w:rsidR="00846DCD" w:rsidRDefault="00846DCD">
      <w:pPr>
        <w:rPr>
          <w:rFonts w:eastAsiaTheme="majorEastAsia" w:cstheme="majorBidi"/>
          <w:b/>
          <w:szCs w:val="32"/>
        </w:rPr>
      </w:pPr>
      <w:r>
        <w:br w:type="page"/>
      </w:r>
    </w:p>
    <w:p w14:paraId="24C56BA2" w14:textId="77777777" w:rsidR="00AA6E37" w:rsidRPr="00AA6E37" w:rsidRDefault="00AA6E37" w:rsidP="00334D6D">
      <w:pPr>
        <w:pStyle w:val="Kop1"/>
        <w:numPr>
          <w:ilvl w:val="0"/>
          <w:numId w:val="1"/>
        </w:numPr>
      </w:pPr>
      <w:bookmarkStart w:id="0" w:name="_Toc88559534"/>
      <w:r w:rsidRPr="00AA6E37">
        <w:lastRenderedPageBreak/>
        <w:t>Inleiding en verantwoording</w:t>
      </w:r>
      <w:bookmarkEnd w:id="0"/>
    </w:p>
    <w:p w14:paraId="44BEECCF" w14:textId="7AB44EC1" w:rsidR="00AA6E37" w:rsidRDefault="00AA6E37" w:rsidP="00AA6E37">
      <w:pPr>
        <w:pStyle w:val="Geenafstand"/>
      </w:pPr>
      <w:r>
        <w:t xml:space="preserve">In dit rapport wordt de emissie inventaris over </w:t>
      </w:r>
      <w:r w:rsidR="0085618A">
        <w:t>202</w:t>
      </w:r>
      <w:r w:rsidR="00362BF5">
        <w:t>2</w:t>
      </w:r>
      <w:r>
        <w:t xml:space="preserve"> besproken en richt zich op invalshoek A (inzicht) van de CO2 prestatieladder. De CO2 voetafdruk geeft een inventarisatie van de totale hoeveelheid uitgestoten broeikasgassen: de GHG emissies. Daarnaast geeft het inzicht in de herkomst van deze emissies met een verdeling naar directe en indirecte GHG emis</w:t>
      </w:r>
      <w:r w:rsidR="00AE6EBE">
        <w:t xml:space="preserve">sies (respectievelijk scope 1, </w:t>
      </w:r>
      <w:r>
        <w:t>scope 2</w:t>
      </w:r>
      <w:r w:rsidR="00AE6EBE">
        <w:t xml:space="preserve"> en business travel</w:t>
      </w:r>
      <w:r>
        <w:t>).</w:t>
      </w:r>
    </w:p>
    <w:p w14:paraId="6B8F9B8F" w14:textId="77777777" w:rsidR="00AA6E37" w:rsidRDefault="00AA6E37" w:rsidP="00AA6E37">
      <w:pPr>
        <w:pStyle w:val="Geenafstand"/>
      </w:pPr>
    </w:p>
    <w:p w14:paraId="7F4FBF65" w14:textId="77777777" w:rsidR="00AA6E37" w:rsidRDefault="00AA6E37" w:rsidP="00AA6E37">
      <w:pPr>
        <w:pStyle w:val="Geenafstand"/>
      </w:pPr>
      <w:r>
        <w:t>De inventarisatie is een verantwoording van onderdeel 3.A.1 uit de prestatieladder en is uit</w:t>
      </w:r>
      <w:r w:rsidR="00AE6EBE">
        <w:t>gevoerd conform de ISO 14064-1:2018.</w:t>
      </w:r>
      <w:r>
        <w:t xml:space="preserve">  In dit rapport wordt de voetprint gerapporteerd volgens § </w:t>
      </w:r>
      <w:r w:rsidR="00AE6EBE">
        <w:t>9</w:t>
      </w:r>
      <w:r>
        <w:t>.3.1 van deze norm, in het laatste hoofdstuk is hiertoe een cross reference table opgenomen.</w:t>
      </w:r>
    </w:p>
    <w:p w14:paraId="316E8F09" w14:textId="77777777" w:rsidR="00AA6E37" w:rsidRPr="00AA6E37" w:rsidRDefault="00AA6E37" w:rsidP="00334D6D">
      <w:pPr>
        <w:pStyle w:val="Kop1"/>
        <w:numPr>
          <w:ilvl w:val="0"/>
          <w:numId w:val="1"/>
        </w:numPr>
      </w:pPr>
      <w:bookmarkStart w:id="1" w:name="_Toc88559535"/>
      <w:r w:rsidRPr="00AA6E37">
        <w:t>Beschrijving van de organisatie</w:t>
      </w:r>
      <w:bookmarkEnd w:id="1"/>
    </w:p>
    <w:p w14:paraId="79722428" w14:textId="4240FA99" w:rsidR="00AA6E37" w:rsidRPr="0085618A" w:rsidRDefault="0085618A" w:rsidP="00AA6E37">
      <w:pPr>
        <w:pStyle w:val="Geenafstand"/>
      </w:pPr>
      <w:r>
        <w:t>Binnen W. &amp; E. van Kasteren B.V. zijn cultuurtechnische werkzaamheden, waaronder aanleg en onderhoud van plantsoenen en terreinen van</w:t>
      </w:r>
      <w:r w:rsidR="0090412B">
        <w:t xml:space="preserve"> overheid, </w:t>
      </w:r>
      <w:r>
        <w:t xml:space="preserve"> bedrijven en instellingen nog steeds de belangrijkste activiteiten. Door de huidige maatschappelijke ontwikkelingen ziet van Kasteren het nut en de noodzaak om verdere verduurzaming door te zetten. Daarom is gekozen voor certificering van de CO</w:t>
      </w:r>
      <w:r>
        <w:rPr>
          <w:vertAlign w:val="subscript"/>
        </w:rPr>
        <w:t>2</w:t>
      </w:r>
      <w:r>
        <w:t>-certificaat.</w:t>
      </w:r>
    </w:p>
    <w:p w14:paraId="2AE21535" w14:textId="77777777" w:rsidR="00AA6E37" w:rsidRPr="00AA6E37" w:rsidRDefault="00AA6E37" w:rsidP="00334D6D">
      <w:pPr>
        <w:pStyle w:val="Kop1"/>
        <w:numPr>
          <w:ilvl w:val="0"/>
          <w:numId w:val="1"/>
        </w:numPr>
      </w:pPr>
      <w:bookmarkStart w:id="2" w:name="_Toc88559536"/>
      <w:r w:rsidRPr="00AA6E37">
        <w:t>Verantwoordelijke</w:t>
      </w:r>
      <w:bookmarkEnd w:id="2"/>
    </w:p>
    <w:p w14:paraId="3E5463B4" w14:textId="407C2910" w:rsidR="00AA6E37" w:rsidRDefault="00AA6E37" w:rsidP="00AA6E37">
      <w:pPr>
        <w:pStyle w:val="Geenafstand"/>
      </w:pPr>
      <w:r>
        <w:t xml:space="preserve">De verantwoordelijkheid voor de stuurcyclus CO2 reductie alsmede alle activiteiten die hier aan gekoppeld zijn, zoals het behalen van de doelstellingen, </w:t>
      </w:r>
      <w:r w:rsidR="0085618A">
        <w:t>is Joris van Loon.</w:t>
      </w:r>
      <w:r w:rsidRPr="0085618A">
        <w:t xml:space="preserve"> Hij</w:t>
      </w:r>
      <w:r>
        <w:t xml:space="preserve"> rapporteert rechtstreeks aan de directie.</w:t>
      </w:r>
    </w:p>
    <w:p w14:paraId="4681B4E0" w14:textId="77777777" w:rsidR="00AA6E37" w:rsidRPr="00AA6E37" w:rsidRDefault="00AA6E37" w:rsidP="00334D6D">
      <w:pPr>
        <w:pStyle w:val="Kop1"/>
        <w:numPr>
          <w:ilvl w:val="0"/>
          <w:numId w:val="1"/>
        </w:numPr>
      </w:pPr>
      <w:bookmarkStart w:id="3" w:name="_Toc88559537"/>
      <w:r w:rsidRPr="00AA6E37">
        <w:t>Basisjaar en rapportage</w:t>
      </w:r>
      <w:bookmarkEnd w:id="3"/>
    </w:p>
    <w:p w14:paraId="7904CFF6" w14:textId="5813648C" w:rsidR="00AA6E37" w:rsidRDefault="00AA6E37" w:rsidP="00AA6E37">
      <w:pPr>
        <w:pStyle w:val="Geenafstand"/>
      </w:pPr>
      <w:r>
        <w:t xml:space="preserve">Dit rapport betreft het jaar </w:t>
      </w:r>
      <w:r w:rsidR="0085618A">
        <w:t>202</w:t>
      </w:r>
      <w:r w:rsidR="00362BF5">
        <w:t>2</w:t>
      </w:r>
      <w:r w:rsidR="0085618A">
        <w:t xml:space="preserve"> </w:t>
      </w:r>
      <w:r>
        <w:t xml:space="preserve">en dit jaar dient tevens als </w:t>
      </w:r>
      <w:r w:rsidR="00C043CC">
        <w:t>eerste voortgangsjaar</w:t>
      </w:r>
      <w:r>
        <w:t xml:space="preserve"> voor de CO2-reductiedoelstellingen. </w:t>
      </w:r>
      <w:r w:rsidR="00715412">
        <w:t>2021 geldt als basisjaar.</w:t>
      </w:r>
    </w:p>
    <w:p w14:paraId="48AB015C" w14:textId="77777777" w:rsidR="00AA6E37" w:rsidRPr="00AA6E37" w:rsidRDefault="00AA6E37" w:rsidP="00334D6D">
      <w:pPr>
        <w:pStyle w:val="Kop1"/>
        <w:numPr>
          <w:ilvl w:val="0"/>
          <w:numId w:val="1"/>
        </w:numPr>
      </w:pPr>
      <w:bookmarkStart w:id="4" w:name="_Toc88559538"/>
      <w:r w:rsidRPr="00AA6E37">
        <w:t>Afbakening</w:t>
      </w:r>
      <w:bookmarkEnd w:id="4"/>
      <w:r w:rsidRPr="00AA6E37">
        <w:t xml:space="preserve"> </w:t>
      </w:r>
    </w:p>
    <w:p w14:paraId="635FFCF6" w14:textId="18226DCA" w:rsidR="00AA6E37" w:rsidRDefault="00AA6E37" w:rsidP="00AA6E37">
      <w:pPr>
        <w:pStyle w:val="Geenafstand"/>
      </w:pPr>
      <w:r>
        <w:t xml:space="preserve">In hoofdstuk 3 van het GHG protocol worden twee methodes beschreven waarop de “organizational boundary” kan worden bepaald, de GHG methode en de Laterale Methode. </w:t>
      </w:r>
      <w:r w:rsidR="0085618A">
        <w:t xml:space="preserve">W. &amp; E. van Kasteren B.V. </w:t>
      </w:r>
      <w:r>
        <w:t xml:space="preserve"> heeft ervoor gekozen om de GHG methode te hanteren. Als Boundary wordt gekozen: </w:t>
      </w:r>
      <w:r w:rsidR="0085618A">
        <w:t>W. &amp; E. van Kasteren B.V. Er zijn verder geen BV’s of entiteiten</w:t>
      </w:r>
      <w:r>
        <w:t xml:space="preserve">. Er wordt naar buiten getreden als </w:t>
      </w:r>
      <w:r w:rsidR="0085618A">
        <w:t>W. &amp; E. van Kasteren B.V</w:t>
      </w:r>
      <w:r>
        <w:t>. Onderstaand wordt de juridische entiteit genoemd die geldt voor het berekenen van de CO2-footprint, de bijbehorende CO2-reductiedoelstellingen en ook als naam zal worden gebruikt op het CO2-bewust certificaat.</w:t>
      </w:r>
    </w:p>
    <w:p w14:paraId="747861B3" w14:textId="77777777" w:rsidR="00AA6E37" w:rsidRDefault="00AA6E37" w:rsidP="00AA6E37">
      <w:pPr>
        <w:pStyle w:val="Geenafstand"/>
      </w:pPr>
    </w:p>
    <w:p w14:paraId="115CCC11" w14:textId="5AC4FE70" w:rsidR="00AA6E37" w:rsidRDefault="0085618A" w:rsidP="00AA6E37">
      <w:pPr>
        <w:pStyle w:val="Geenafstand"/>
      </w:pPr>
      <w:r>
        <w:t>W. &amp; E. van Kasteren B.V.</w:t>
      </w:r>
    </w:p>
    <w:p w14:paraId="5262029A" w14:textId="77777777" w:rsidR="0085618A" w:rsidRDefault="0085618A" w:rsidP="00AA6E37">
      <w:pPr>
        <w:pStyle w:val="Geenafstand"/>
      </w:pPr>
    </w:p>
    <w:p w14:paraId="300D5608" w14:textId="77777777" w:rsidR="00AA6E37" w:rsidRPr="00AA6E37" w:rsidRDefault="00AA6E37" w:rsidP="00AA6E37">
      <w:pPr>
        <w:pStyle w:val="Geenafstand"/>
        <w:rPr>
          <w:b/>
        </w:rPr>
      </w:pPr>
      <w:r w:rsidRPr="00AA6E37">
        <w:rPr>
          <w:b/>
        </w:rPr>
        <w:t>Met inbegrip van vestiging</w:t>
      </w:r>
    </w:p>
    <w:p w14:paraId="0AAA510B" w14:textId="44F94759" w:rsidR="00AA6E37" w:rsidRDefault="0085618A" w:rsidP="00AA6E37">
      <w:pPr>
        <w:pStyle w:val="Geenafstand"/>
      </w:pPr>
      <w:r>
        <w:t>Kanaaldijk NO 104b, Helmond</w:t>
      </w:r>
    </w:p>
    <w:p w14:paraId="42F3C832" w14:textId="77777777" w:rsidR="00AA6E37" w:rsidRDefault="00AA6E37" w:rsidP="00AA6E37">
      <w:pPr>
        <w:pStyle w:val="Geenafstand"/>
      </w:pPr>
    </w:p>
    <w:p w14:paraId="1D53FEA8" w14:textId="77777777" w:rsidR="00AA6E37" w:rsidRPr="00AA6E37" w:rsidRDefault="00AA6E37" w:rsidP="00AA6E37">
      <w:pPr>
        <w:pStyle w:val="Geenafstand"/>
        <w:rPr>
          <w:b/>
        </w:rPr>
      </w:pPr>
      <w:r w:rsidRPr="00AA6E37">
        <w:rPr>
          <w:b/>
        </w:rPr>
        <w:t>En dochterondernemingen</w:t>
      </w:r>
    </w:p>
    <w:p w14:paraId="3A5D3A5D" w14:textId="77777777" w:rsidR="00AA6E37" w:rsidRDefault="00AA6E37" w:rsidP="00AA6E37">
      <w:pPr>
        <w:pStyle w:val="Geenafstand"/>
      </w:pPr>
      <w:r w:rsidRPr="0085618A">
        <w:t>Geen</w:t>
      </w:r>
    </w:p>
    <w:p w14:paraId="2594D8A1" w14:textId="77777777" w:rsidR="00AA6E37" w:rsidRDefault="00AA6E37" w:rsidP="00AA6E37">
      <w:pPr>
        <w:pStyle w:val="Geenafstand"/>
      </w:pPr>
    </w:p>
    <w:p w14:paraId="5A475FF8" w14:textId="273FD540" w:rsidR="00AA6E37" w:rsidRDefault="00AA6E37" w:rsidP="00AA6E37">
      <w:pPr>
        <w:pStyle w:val="Geenafstand"/>
      </w:pPr>
      <w:r w:rsidRPr="00AA6E37">
        <w:t>Dat wil zeggen</w:t>
      </w:r>
      <w:r>
        <w:t xml:space="preserve"> dat</w:t>
      </w:r>
      <w:r w:rsidRPr="00AA6E37">
        <w:t xml:space="preserve"> alle</w:t>
      </w:r>
      <w:r>
        <w:t xml:space="preserve"> operationele</w:t>
      </w:r>
      <w:r w:rsidRPr="00AA6E37">
        <w:t xml:space="preserve"> werkzaamheden </w:t>
      </w:r>
      <w:r>
        <w:t xml:space="preserve">door </w:t>
      </w:r>
      <w:r w:rsidR="0085618A">
        <w:t xml:space="preserve">W. &amp; E. van Kasteren B.V. </w:t>
      </w:r>
      <w:r>
        <w:t xml:space="preserve">worden </w:t>
      </w:r>
      <w:r w:rsidRPr="00AA6E37">
        <w:t xml:space="preserve">verricht, zoals ook ingeschreven bij de Kamer van Koophandel onder de naam </w:t>
      </w:r>
      <w:r w:rsidR="0085618A">
        <w:t xml:space="preserve">W. &amp; E. van Kasteren B.V. </w:t>
      </w:r>
      <w:r w:rsidRPr="00AA6E37">
        <w:t>De daarbij behorende CO2-uitstoot zal als input worden gebruikt voor het berekenen van de CO2-footprint. Onderstaand volgt verdere toelichting op deze boundary volgens de aandelen methode (equity share approach).</w:t>
      </w:r>
    </w:p>
    <w:p w14:paraId="7F3991DE" w14:textId="77777777" w:rsidR="00AA6E37" w:rsidRDefault="00AA6E37" w:rsidP="00AA6E37">
      <w:pPr>
        <w:pStyle w:val="Geenafstand"/>
      </w:pPr>
    </w:p>
    <w:p w14:paraId="5E9DFD9D" w14:textId="77777777" w:rsidR="00846DCD" w:rsidRDefault="00846DCD" w:rsidP="00AA6E37">
      <w:pPr>
        <w:pStyle w:val="Geenafstand"/>
      </w:pPr>
    </w:p>
    <w:p w14:paraId="5EF0640F" w14:textId="77777777" w:rsidR="007A0C00" w:rsidRDefault="007A0C00" w:rsidP="00AA6E37">
      <w:pPr>
        <w:pStyle w:val="Geenafstand"/>
      </w:pPr>
      <w:r>
        <w:t xml:space="preserve">W. &amp; E. van Kasteren B.V. </w:t>
      </w:r>
    </w:p>
    <w:p w14:paraId="103A53E0" w14:textId="25DE5F07" w:rsidR="00AA6E37" w:rsidRDefault="00AA6E37" w:rsidP="00AA6E37">
      <w:pPr>
        <w:pStyle w:val="Geenafstand"/>
      </w:pPr>
      <w:r>
        <w:t>•</w:t>
      </w:r>
      <w:r>
        <w:tab/>
        <w:t>heeft alleen aandelen van het eigen bedrijf;</w:t>
      </w:r>
    </w:p>
    <w:p w14:paraId="28B074D8" w14:textId="77777777" w:rsidR="00AA6E37" w:rsidRDefault="00AA6E37" w:rsidP="00AA6E37">
      <w:pPr>
        <w:pStyle w:val="Geenafstand"/>
      </w:pPr>
      <w:r>
        <w:t>•</w:t>
      </w:r>
      <w:r>
        <w:tab/>
        <w:t>is geen onderdeel van een joint venture;</w:t>
      </w:r>
    </w:p>
    <w:p w14:paraId="147F4C5A" w14:textId="77777777" w:rsidR="00AA6E37" w:rsidRDefault="00AA6E37" w:rsidP="00AA6E37">
      <w:pPr>
        <w:pStyle w:val="Geenafstand"/>
      </w:pPr>
      <w:r>
        <w:t>•</w:t>
      </w:r>
      <w:r>
        <w:tab/>
        <w:t>heeft geen samenwerking met andere bedrijven waarvan zij ook aandelen bezit;</w:t>
      </w:r>
    </w:p>
    <w:p w14:paraId="72A0CFEA" w14:textId="77777777" w:rsidR="00AA6E37" w:rsidRDefault="00AA6E37" w:rsidP="00AA6E37">
      <w:pPr>
        <w:pStyle w:val="Geenafstand"/>
      </w:pPr>
      <w:r>
        <w:t>•</w:t>
      </w:r>
      <w:r>
        <w:tab/>
        <w:t>heeft geen franchise activiteiten;</w:t>
      </w:r>
    </w:p>
    <w:p w14:paraId="1E553F31" w14:textId="77777777" w:rsidR="00AA6E37" w:rsidRDefault="00AA6E37" w:rsidP="00AA6E37">
      <w:pPr>
        <w:pStyle w:val="Geenafstand"/>
      </w:pPr>
      <w:r>
        <w:t>•</w:t>
      </w:r>
      <w:r>
        <w:tab/>
        <w:t>is geen A-leverancier van een ander bedrijf binnen hetzelfde concern/ holding;</w:t>
      </w:r>
    </w:p>
    <w:p w14:paraId="476605F4" w14:textId="77777777" w:rsidR="00AA6E37" w:rsidRDefault="00AA6E37" w:rsidP="00AA6E37">
      <w:pPr>
        <w:pStyle w:val="Geenafstand"/>
      </w:pPr>
      <w:r>
        <w:t>•</w:t>
      </w:r>
      <w:r>
        <w:tab/>
        <w:t>heeft geen A-leveranciers die tevens concern-aanbieders zijn.</w:t>
      </w:r>
    </w:p>
    <w:p w14:paraId="2FFF4299" w14:textId="77777777" w:rsidR="00AA6E37" w:rsidRPr="00AA6E37" w:rsidRDefault="00AA6E37" w:rsidP="005D3A0C">
      <w:pPr>
        <w:pStyle w:val="Kop1"/>
        <w:numPr>
          <w:ilvl w:val="0"/>
          <w:numId w:val="1"/>
        </w:numPr>
      </w:pPr>
      <w:bookmarkStart w:id="5" w:name="_Toc88559539"/>
      <w:r w:rsidRPr="00AA6E37">
        <w:t>Directe en indirecte GHG-emissies</w:t>
      </w:r>
      <w:bookmarkEnd w:id="5"/>
    </w:p>
    <w:p w14:paraId="6EAAC311" w14:textId="77777777" w:rsidR="00AA6E37" w:rsidRDefault="00AA6E37" w:rsidP="00AA6E37">
      <w:pPr>
        <w:pStyle w:val="Geenafstand"/>
      </w:pPr>
      <w:r>
        <w:t>In dit hoofdstuk worden de berekende GHG emissies toegelicht.</w:t>
      </w:r>
    </w:p>
    <w:p w14:paraId="280A5B10" w14:textId="77777777" w:rsidR="00AA6E37" w:rsidRDefault="00AA6E37" w:rsidP="00AA6E37">
      <w:pPr>
        <w:pStyle w:val="Geenafstand"/>
      </w:pPr>
    </w:p>
    <w:p w14:paraId="30544044" w14:textId="77777777" w:rsidR="00AA6E37" w:rsidRDefault="00AA6E37" w:rsidP="005D3A0C">
      <w:pPr>
        <w:pStyle w:val="Geenafstand"/>
        <w:rPr>
          <w:b/>
        </w:rPr>
      </w:pPr>
      <w:r w:rsidRPr="00AA6E37">
        <w:rPr>
          <w:b/>
        </w:rPr>
        <w:t>Berekende GHG emissies</w:t>
      </w:r>
    </w:p>
    <w:p w14:paraId="2B32472C" w14:textId="6B312795" w:rsidR="00AA6E37" w:rsidRDefault="00AA6E37" w:rsidP="00AA6E37">
      <w:pPr>
        <w:pStyle w:val="Geenafstand"/>
      </w:pPr>
      <w:r>
        <w:t xml:space="preserve">De directe en indirecte GHG emissie bedroeg in </w:t>
      </w:r>
      <w:r w:rsidR="007A0C00" w:rsidRPr="00C043CC">
        <w:t>202</w:t>
      </w:r>
      <w:r w:rsidR="00C043CC" w:rsidRPr="00C043CC">
        <w:t>2</w:t>
      </w:r>
      <w:r w:rsidR="0090412B" w:rsidRPr="00C043CC">
        <w:t xml:space="preserve"> </w:t>
      </w:r>
      <w:r w:rsidR="00C043CC" w:rsidRPr="00C043CC">
        <w:t>62,8</w:t>
      </w:r>
      <w:r w:rsidRPr="00C043CC">
        <w:t xml:space="preserve"> ton CO2. Hiervan werd </w:t>
      </w:r>
      <w:r w:rsidR="00C043CC" w:rsidRPr="00C043CC">
        <w:t>62</w:t>
      </w:r>
      <w:r w:rsidR="00EC0BF0" w:rsidRPr="00C043CC">
        <w:t>,</w:t>
      </w:r>
      <w:r w:rsidR="00C043CC" w:rsidRPr="00C043CC">
        <w:t>7</w:t>
      </w:r>
      <w:r w:rsidRPr="00C043CC">
        <w:t xml:space="preserve"> ton CO2 veroorzaakt door directe GHG emissie (scope 1) en </w:t>
      </w:r>
      <w:r w:rsidR="007A0C00" w:rsidRPr="00C043CC">
        <w:t>0</w:t>
      </w:r>
      <w:r w:rsidR="00C043CC" w:rsidRPr="00C043CC">
        <w:t>,1</w:t>
      </w:r>
      <w:r w:rsidRPr="00C043CC">
        <w:t xml:space="preserve"> ton CO2 door indirecte GHG emissie (scope 2)</w:t>
      </w:r>
      <w:r w:rsidR="00AE6EBE" w:rsidRPr="00C043CC">
        <w:t xml:space="preserve">, </w:t>
      </w:r>
      <w:r w:rsidR="007A0C00" w:rsidRPr="00C043CC">
        <w:t>0</w:t>
      </w:r>
      <w:r w:rsidR="00AE6EBE" w:rsidRPr="00C043CC">
        <w:t xml:space="preserve"> ton CO2 door indirec</w:t>
      </w:r>
      <w:r w:rsidR="00CF45D1" w:rsidRPr="00C043CC">
        <w:t>te GHG emissie (business travel scope 3)</w:t>
      </w:r>
    </w:p>
    <w:p w14:paraId="42E12DFD" w14:textId="77777777" w:rsidR="00AA6E37" w:rsidRPr="00AA6E37" w:rsidRDefault="00AA6E37" w:rsidP="00AA6E37">
      <w:pPr>
        <w:pStyle w:val="Geenafstand"/>
        <w:rPr>
          <w:i/>
        </w:rPr>
      </w:pPr>
      <w:r w:rsidRPr="00AA6E37">
        <w:rPr>
          <w:i/>
        </w:rPr>
        <w:t>Bron 315.1 Emissie inventaris</w:t>
      </w:r>
    </w:p>
    <w:p w14:paraId="53AE15EE" w14:textId="77777777" w:rsidR="00AA6E37" w:rsidRDefault="00AA6E37" w:rsidP="00AA6E37">
      <w:pPr>
        <w:pStyle w:val="Geenafstand"/>
      </w:pPr>
    </w:p>
    <w:p w14:paraId="588C2F30" w14:textId="77777777" w:rsidR="00AA6E37" w:rsidRPr="00AA6E37" w:rsidRDefault="00AA6E37" w:rsidP="00AA6E37">
      <w:pPr>
        <w:pStyle w:val="Geenafstand"/>
        <w:rPr>
          <w:b/>
        </w:rPr>
      </w:pPr>
      <w:r w:rsidRPr="00AA6E37">
        <w:rPr>
          <w:b/>
        </w:rPr>
        <w:t>Scope 1</w:t>
      </w:r>
    </w:p>
    <w:p w14:paraId="1BEC95D6" w14:textId="77777777" w:rsidR="007A0C00" w:rsidRDefault="00AA6E37" w:rsidP="00AA6E37">
      <w:pPr>
        <w:pStyle w:val="Geenafstand"/>
      </w:pPr>
      <w:r w:rsidRPr="007A0C00">
        <w:t xml:space="preserve">Het verbruik van </w:t>
      </w:r>
      <w:r w:rsidR="007A0C00" w:rsidRPr="007A0C00">
        <w:t>LPG voor de heftruck is bekend</w:t>
      </w:r>
      <w:r w:rsidRPr="007A0C00">
        <w:t>,</w:t>
      </w:r>
      <w:r w:rsidR="007A0C00" w:rsidRPr="007A0C00">
        <w:t xml:space="preserve"> maar</w:t>
      </w:r>
      <w:r w:rsidRPr="007A0C00">
        <w:t xml:space="preserve"> </w:t>
      </w:r>
      <w:r w:rsidR="007A0C00" w:rsidRPr="007A0C00">
        <w:t>is</w:t>
      </w:r>
      <w:r w:rsidRPr="007A0C00">
        <w:t xml:space="preserve"> nihil en </w:t>
      </w:r>
      <w:r w:rsidR="007A0C00" w:rsidRPr="007A0C00">
        <w:t>heeft</w:t>
      </w:r>
      <w:r w:rsidRPr="007A0C00">
        <w:t xml:space="preserve"> geen significante invloed op de emissies en/of reductiebeleid.</w:t>
      </w:r>
    </w:p>
    <w:p w14:paraId="14FB3B94" w14:textId="46112CB2" w:rsidR="00EA7268" w:rsidRDefault="00EA7268" w:rsidP="00AA6E37">
      <w:pPr>
        <w:pStyle w:val="Geenafstand"/>
      </w:pPr>
      <w:r w:rsidRPr="00EA7268">
        <w:t xml:space="preserve"> </w:t>
      </w:r>
    </w:p>
    <w:p w14:paraId="052948E7" w14:textId="77777777" w:rsidR="00AA6E37" w:rsidRDefault="00EA7268" w:rsidP="00AA6E37">
      <w:pPr>
        <w:pStyle w:val="Geenafstand"/>
      </w:pPr>
      <w:r w:rsidRPr="008D3A22">
        <w:t xml:space="preserve">Wij maken geen gebruik van olie- en smeermiddelen als bedoeld op </w:t>
      </w:r>
      <w:hyperlink r:id="rId12" w:history="1">
        <w:r w:rsidRPr="008D3A22">
          <w:rPr>
            <w:rStyle w:val="Hyperlink"/>
          </w:rPr>
          <w:t>www.co2emissiefactoren.nl</w:t>
        </w:r>
      </w:hyperlink>
      <w:r w:rsidRPr="008D3A22">
        <w:t xml:space="preserve"> (Brandstoffen energiecentrales en individuele warmteopwekking).</w:t>
      </w:r>
      <w:r>
        <w:t xml:space="preserve"> Olie- en smeermiddelen en evenals AdBlue zijn geen brandstoffen en veroorzaken geen CO2-uitstoot.</w:t>
      </w:r>
    </w:p>
    <w:p w14:paraId="1BDE78DF" w14:textId="77777777" w:rsidR="00AA6E37" w:rsidRDefault="00AA6E37" w:rsidP="00AA6E37">
      <w:pPr>
        <w:pStyle w:val="Geenafstand"/>
      </w:pPr>
    </w:p>
    <w:p w14:paraId="40CFCA45" w14:textId="77777777" w:rsidR="00AA6E37" w:rsidRPr="00AA6E37" w:rsidRDefault="00AA6E37" w:rsidP="00AA6E37">
      <w:pPr>
        <w:pStyle w:val="Geenafstand"/>
        <w:rPr>
          <w:b/>
        </w:rPr>
      </w:pPr>
      <w:r w:rsidRPr="00AA6E37">
        <w:rPr>
          <w:b/>
        </w:rPr>
        <w:t>Scope 2</w:t>
      </w:r>
    </w:p>
    <w:p w14:paraId="7E8F88F0" w14:textId="1A587953" w:rsidR="00AA6E37" w:rsidRDefault="00AA6E37" w:rsidP="00AA6E37">
      <w:pPr>
        <w:pStyle w:val="Geenafstand"/>
      </w:pPr>
      <w:r>
        <w:t>Er wordt gebruik gemaakt</w:t>
      </w:r>
      <w:r w:rsidR="007A0C00">
        <w:t xml:space="preserve"> Groen uit </w:t>
      </w:r>
      <w:r w:rsidR="00A4482A" w:rsidRPr="00A4482A">
        <w:t>biomassa</w:t>
      </w:r>
      <w:r w:rsidRPr="00A4482A">
        <w:t xml:space="preserve"> van </w:t>
      </w:r>
      <w:r w:rsidR="007A0C00" w:rsidRPr="00A4482A">
        <w:t>Greenchoice</w:t>
      </w:r>
      <w:r w:rsidR="00A4482A" w:rsidRPr="00A4482A">
        <w:t xml:space="preserve">. </w:t>
      </w:r>
      <w:r w:rsidRPr="00A4482A">
        <w:t xml:space="preserve"> Conversiefactor “</w:t>
      </w:r>
      <w:r w:rsidR="00A4482A" w:rsidRPr="00A4482A">
        <w:t>biomassa</w:t>
      </w:r>
      <w:r w:rsidR="00C043CC">
        <w:t>, groen en grijs</w:t>
      </w:r>
      <w:r w:rsidRPr="00A4482A">
        <w:t xml:space="preserve">” </w:t>
      </w:r>
      <w:r w:rsidR="007A0C00" w:rsidRPr="00A4482A">
        <w:t>zijn</w:t>
      </w:r>
      <w:r w:rsidRPr="00A4482A">
        <w:t xml:space="preserve"> gerekend</w:t>
      </w:r>
      <w:r w:rsidR="007A0C00" w:rsidRPr="00A4482A">
        <w:t>.</w:t>
      </w:r>
    </w:p>
    <w:p w14:paraId="63855127" w14:textId="77777777" w:rsidR="00CF45D1" w:rsidRDefault="00CF45D1" w:rsidP="00CF45D1">
      <w:pPr>
        <w:pStyle w:val="Geenafstand"/>
        <w:rPr>
          <w:b/>
        </w:rPr>
      </w:pPr>
    </w:p>
    <w:p w14:paraId="0C8729A6" w14:textId="77777777" w:rsidR="00CF45D1" w:rsidRPr="00AA6E37" w:rsidRDefault="00CF45D1" w:rsidP="00CF45D1">
      <w:pPr>
        <w:pStyle w:val="Geenafstand"/>
        <w:rPr>
          <w:b/>
        </w:rPr>
      </w:pPr>
      <w:r w:rsidRPr="00AA6E37">
        <w:rPr>
          <w:b/>
        </w:rPr>
        <w:t xml:space="preserve">Scope </w:t>
      </w:r>
      <w:r>
        <w:rPr>
          <w:b/>
        </w:rPr>
        <w:t>3</w:t>
      </w:r>
    </w:p>
    <w:p w14:paraId="38558F09" w14:textId="56E22426" w:rsidR="00CF45D1" w:rsidRDefault="007A0C00" w:rsidP="00CF45D1">
      <w:pPr>
        <w:pStyle w:val="Geenafstand"/>
      </w:pPr>
      <w:r>
        <w:t>Kilometers gereden met een privé auto zijn niet of nauwelijks van toepassing</w:t>
      </w:r>
    </w:p>
    <w:p w14:paraId="455D1BEB" w14:textId="77777777" w:rsidR="00846DCD" w:rsidRDefault="00846DCD" w:rsidP="00AA6E37">
      <w:pPr>
        <w:pStyle w:val="Geenafstand"/>
      </w:pPr>
    </w:p>
    <w:p w14:paraId="2004E36F" w14:textId="77777777" w:rsidR="00AA6E37" w:rsidRPr="00846DCD" w:rsidRDefault="00AA6E37" w:rsidP="005D3A0C">
      <w:pPr>
        <w:pStyle w:val="Geenafstand"/>
        <w:rPr>
          <w:b/>
        </w:rPr>
      </w:pPr>
      <w:r w:rsidRPr="00846DCD">
        <w:rPr>
          <w:b/>
        </w:rPr>
        <w:t>Bedrijfsgrootte</w:t>
      </w:r>
    </w:p>
    <w:p w14:paraId="7695E3BA" w14:textId="1E8B3EAF" w:rsidR="00AA6E37" w:rsidRDefault="00AA6E37" w:rsidP="00AA6E37">
      <w:pPr>
        <w:pStyle w:val="Geenafstand"/>
      </w:pPr>
      <w:r w:rsidRPr="00C043CC">
        <w:t>De totale emissie bedraagt</w:t>
      </w:r>
      <w:r w:rsidR="00E62C0D" w:rsidRPr="00C043CC">
        <w:t xml:space="preserve"> </w:t>
      </w:r>
      <w:r w:rsidR="00C043CC" w:rsidRPr="00C043CC">
        <w:t>62,8</w:t>
      </w:r>
      <w:r w:rsidR="00EC0BF0" w:rsidRPr="00C043CC">
        <w:t xml:space="preserve"> </w:t>
      </w:r>
      <w:r w:rsidRPr="00C043CC">
        <w:t xml:space="preserve">ton, waarvan </w:t>
      </w:r>
      <w:r w:rsidR="00C043CC" w:rsidRPr="00C043CC">
        <w:t>3,57</w:t>
      </w:r>
      <w:r w:rsidRPr="00C043CC">
        <w:t xml:space="preserve"> ton kantoor en </w:t>
      </w:r>
      <w:r w:rsidR="00C043CC" w:rsidRPr="00C043CC">
        <w:t>59,23</w:t>
      </w:r>
      <w:r w:rsidRPr="00C043CC">
        <w:t xml:space="preserve"> ton voor werken. De bijbehorende bedrijfsgrootte volgens de criteria van tabel 4.1 van het handboek versie 3.1 is Klein</w:t>
      </w:r>
      <w:r w:rsidR="007A0C00" w:rsidRPr="00C043CC">
        <w:t>.</w:t>
      </w:r>
    </w:p>
    <w:p w14:paraId="6F4E3E91" w14:textId="77777777" w:rsidR="00846DCD" w:rsidRDefault="00846DCD" w:rsidP="00AA6E37">
      <w:pPr>
        <w:pStyle w:val="Geenafstand"/>
      </w:pPr>
    </w:p>
    <w:p w14:paraId="27C34560" w14:textId="77777777" w:rsidR="00AA6E37" w:rsidRPr="00846DCD" w:rsidRDefault="00AA6E37" w:rsidP="005D3A0C">
      <w:pPr>
        <w:pStyle w:val="Geenafstand"/>
        <w:rPr>
          <w:b/>
        </w:rPr>
      </w:pPr>
      <w:r w:rsidRPr="00846DCD">
        <w:rPr>
          <w:b/>
        </w:rPr>
        <w:t>Verificatie</w:t>
      </w:r>
    </w:p>
    <w:p w14:paraId="094941BB" w14:textId="77777777" w:rsidR="00846DCD" w:rsidRDefault="00AA6E37" w:rsidP="00AA6E37">
      <w:pPr>
        <w:pStyle w:val="Geenafstand"/>
      </w:pPr>
      <w:r>
        <w:t xml:space="preserve">De </w:t>
      </w:r>
      <w:r w:rsidR="00CF45D1">
        <w:t xml:space="preserve">emissie-inventaris zal door onze CI  worden geverifieerd. </w:t>
      </w:r>
    </w:p>
    <w:p w14:paraId="5A6B4BD8" w14:textId="77777777" w:rsidR="00CF45D1" w:rsidRDefault="00CF45D1" w:rsidP="00AA6E37">
      <w:pPr>
        <w:pStyle w:val="Geenafstand"/>
      </w:pPr>
    </w:p>
    <w:p w14:paraId="61497E0D" w14:textId="77777777" w:rsidR="00AA6E37" w:rsidRPr="00846DCD" w:rsidRDefault="00AA6E37" w:rsidP="005D3A0C">
      <w:pPr>
        <w:pStyle w:val="Geenafstand"/>
        <w:rPr>
          <w:b/>
        </w:rPr>
      </w:pPr>
      <w:r w:rsidRPr="00846DCD">
        <w:rPr>
          <w:b/>
        </w:rPr>
        <w:t>Verbranding biomassa</w:t>
      </w:r>
    </w:p>
    <w:p w14:paraId="5B7597BB" w14:textId="136C64D9" w:rsidR="00AA6E37" w:rsidRDefault="00AA6E37" w:rsidP="00AA6E37">
      <w:pPr>
        <w:pStyle w:val="Geenafstand"/>
      </w:pPr>
      <w:r>
        <w:t xml:space="preserve">Verbranding van biomassa vond niet plaats bij </w:t>
      </w:r>
      <w:r w:rsidR="007A0C00">
        <w:t>W. &amp; E. van Kasteren B.V. in 202</w:t>
      </w:r>
      <w:r w:rsidR="00C839FB">
        <w:t>2</w:t>
      </w:r>
      <w:r w:rsidR="007A0C00">
        <w:t>.</w:t>
      </w:r>
    </w:p>
    <w:p w14:paraId="494AC710" w14:textId="77777777" w:rsidR="00846DCD" w:rsidRDefault="00846DCD" w:rsidP="00AA6E37">
      <w:pPr>
        <w:pStyle w:val="Geenafstand"/>
      </w:pPr>
    </w:p>
    <w:p w14:paraId="54C37A64" w14:textId="77777777" w:rsidR="00AA6E37" w:rsidRPr="00846DCD" w:rsidRDefault="00AA6E37" w:rsidP="005D3A0C">
      <w:pPr>
        <w:pStyle w:val="Geenafstand"/>
        <w:rPr>
          <w:b/>
        </w:rPr>
      </w:pPr>
      <w:bookmarkStart w:id="6" w:name="_Hlk108094715"/>
      <w:r w:rsidRPr="00846DCD">
        <w:rPr>
          <w:b/>
        </w:rPr>
        <w:t>GHG verwijderingen</w:t>
      </w:r>
    </w:p>
    <w:p w14:paraId="6A3B3667" w14:textId="12D8A378" w:rsidR="00AA6E37" w:rsidRDefault="00AA6E37" w:rsidP="00AA6E37">
      <w:pPr>
        <w:pStyle w:val="Geenafstand"/>
      </w:pPr>
      <w:r>
        <w:t xml:space="preserve">Er heeft geen broeikasgasverwijdering of compensatie plaats gevonden bij </w:t>
      </w:r>
      <w:r w:rsidR="007A0C00">
        <w:t xml:space="preserve">W. &amp; E. van Kasteren B.V. </w:t>
      </w:r>
      <w:r w:rsidRPr="00AA6E37">
        <w:rPr>
          <w:highlight w:val="yellow"/>
        </w:rPr>
        <w:t xml:space="preserve"> </w:t>
      </w:r>
      <w:r w:rsidR="007A0C00">
        <w:t>in 202</w:t>
      </w:r>
      <w:r w:rsidR="00C839FB">
        <w:t>2</w:t>
      </w:r>
      <w:r w:rsidR="007A0C00">
        <w:t>.</w:t>
      </w:r>
    </w:p>
    <w:bookmarkEnd w:id="6"/>
    <w:p w14:paraId="7CA2F2B8" w14:textId="77777777" w:rsidR="00846DCD" w:rsidRDefault="00846DCD" w:rsidP="00AA6E37">
      <w:pPr>
        <w:pStyle w:val="Geenafstand"/>
      </w:pPr>
    </w:p>
    <w:p w14:paraId="12466CDD" w14:textId="77777777" w:rsidR="00AA6E37" w:rsidRPr="00846DCD" w:rsidRDefault="00AA6E37" w:rsidP="005D3A0C">
      <w:pPr>
        <w:pStyle w:val="Geenafstand"/>
        <w:rPr>
          <w:b/>
        </w:rPr>
      </w:pPr>
      <w:r w:rsidRPr="00846DCD">
        <w:rPr>
          <w:b/>
        </w:rPr>
        <w:t>Uitzonderingen</w:t>
      </w:r>
    </w:p>
    <w:p w14:paraId="0A05CAEE" w14:textId="31101436" w:rsidR="00CF45D1" w:rsidRDefault="00AA6E37" w:rsidP="00AA6E37">
      <w:pPr>
        <w:pStyle w:val="Geenafstand"/>
      </w:pPr>
      <w:r>
        <w:t>Er zijn geen noemenswaardige uitzonderingen te noemen op het GHG protocol.</w:t>
      </w:r>
    </w:p>
    <w:p w14:paraId="1B46D1FF" w14:textId="77777777" w:rsidR="00CF45D1" w:rsidRDefault="00CF45D1" w:rsidP="00AA6E37">
      <w:pPr>
        <w:pStyle w:val="Geenafstand"/>
      </w:pPr>
    </w:p>
    <w:p w14:paraId="06F2ECB2" w14:textId="77777777" w:rsidR="00AA6E37" w:rsidRPr="00846DCD" w:rsidRDefault="00AA6E37" w:rsidP="00846DCD">
      <w:pPr>
        <w:pStyle w:val="Geenafstand"/>
        <w:rPr>
          <w:b/>
        </w:rPr>
      </w:pPr>
      <w:r w:rsidRPr="00846DCD">
        <w:rPr>
          <w:b/>
        </w:rPr>
        <w:lastRenderedPageBreak/>
        <w:t>Belangrijkste beïnvloeders</w:t>
      </w:r>
    </w:p>
    <w:p w14:paraId="306F1FF6" w14:textId="1FA5A74E" w:rsidR="00AA6E37" w:rsidRDefault="00AA6E37" w:rsidP="00AA6E37">
      <w:pPr>
        <w:pStyle w:val="Geenafstand"/>
      </w:pPr>
      <w:r>
        <w:t xml:space="preserve">Binnen </w:t>
      </w:r>
      <w:r w:rsidR="007A0C00">
        <w:t xml:space="preserve">W. &amp; E. van Kasteren B.V. </w:t>
      </w:r>
      <w:r>
        <w:t>zijn geen individuele personen te benoemen die een dermate invloed op de CO2 footprint hebben dat gedragsverandering van deze individuele persoon alleen al zou zorgen voor een significante verandering in de CO2 footprint.</w:t>
      </w:r>
    </w:p>
    <w:p w14:paraId="3229FC28" w14:textId="77777777" w:rsidR="00AA6E37" w:rsidRDefault="00AA6E37" w:rsidP="00AA6E37">
      <w:pPr>
        <w:pStyle w:val="Geenafstand"/>
      </w:pPr>
    </w:p>
    <w:p w14:paraId="0FBB5191" w14:textId="77777777" w:rsidR="00AA6E37" w:rsidRPr="00846DCD" w:rsidRDefault="00AA6E37" w:rsidP="00846DCD">
      <w:pPr>
        <w:pStyle w:val="Geenafstand"/>
        <w:rPr>
          <w:b/>
        </w:rPr>
      </w:pPr>
      <w:r w:rsidRPr="00846DCD">
        <w:rPr>
          <w:b/>
        </w:rPr>
        <w:t>Toekomst</w:t>
      </w:r>
    </w:p>
    <w:p w14:paraId="2034E2A6" w14:textId="0DCB1E79" w:rsidR="00AA6E37" w:rsidRDefault="00AA6E37" w:rsidP="00AA6E37">
      <w:pPr>
        <w:pStyle w:val="Geenafstand"/>
      </w:pPr>
      <w:r>
        <w:t xml:space="preserve">De emissie in de paragrafen hierboven zijn vastgesteld voor het jaar </w:t>
      </w:r>
      <w:r w:rsidR="007A0C00">
        <w:t>202</w:t>
      </w:r>
      <w:r w:rsidR="0031026E">
        <w:t>2</w:t>
      </w:r>
      <w:r w:rsidR="007A0C00">
        <w:t>.</w:t>
      </w:r>
      <w:r>
        <w:t xml:space="preserve"> De verwachting is dat deze emissie in het </w:t>
      </w:r>
      <w:r w:rsidRPr="007A0C00">
        <w:t xml:space="preserve">komende jaar, </w:t>
      </w:r>
      <w:r w:rsidR="007A0C00" w:rsidRPr="007A0C00">
        <w:t>202</w:t>
      </w:r>
      <w:r w:rsidR="0031026E">
        <w:t>3</w:t>
      </w:r>
      <w:r w:rsidRPr="007A0C00">
        <w:t>, niet aan grote verandering onderhevig</w:t>
      </w:r>
      <w:r>
        <w:t xml:space="preserve"> zal zijn. Wel zal, gezien de doelstellingen</w:t>
      </w:r>
      <w:r w:rsidR="007A0C00">
        <w:t xml:space="preserve"> van</w:t>
      </w:r>
      <w:r>
        <w:t xml:space="preserve"> </w:t>
      </w:r>
      <w:r w:rsidR="007A0C00">
        <w:t xml:space="preserve">W. &amp; E. van Kasteren B.V. </w:t>
      </w:r>
      <w:r>
        <w:t xml:space="preserve">de CO2 uitstoot met </w:t>
      </w:r>
      <w:r w:rsidR="007A0C00">
        <w:t>5 procent dalen de komende vijf jaar.</w:t>
      </w:r>
      <w:r>
        <w:t xml:space="preserve"> </w:t>
      </w:r>
    </w:p>
    <w:p w14:paraId="27E7ABE9" w14:textId="77777777" w:rsidR="00846DCD" w:rsidRDefault="00846DCD" w:rsidP="00AA6E37">
      <w:pPr>
        <w:pStyle w:val="Geenafstand"/>
      </w:pPr>
    </w:p>
    <w:p w14:paraId="7DBAC68F" w14:textId="77777777" w:rsidR="00AA6E37" w:rsidRPr="00846DCD" w:rsidRDefault="00AA6E37" w:rsidP="00846DCD">
      <w:pPr>
        <w:pStyle w:val="Geenafstand"/>
        <w:rPr>
          <w:b/>
        </w:rPr>
      </w:pPr>
      <w:r w:rsidRPr="00846DCD">
        <w:rPr>
          <w:b/>
        </w:rPr>
        <w:t>Significante veranderingen</w:t>
      </w:r>
    </w:p>
    <w:p w14:paraId="01604FA5" w14:textId="41507C23" w:rsidR="00AA6E37" w:rsidRDefault="00AA6E37" w:rsidP="00AA6E37">
      <w:pPr>
        <w:pStyle w:val="Geenafstand"/>
      </w:pPr>
      <w:r>
        <w:t xml:space="preserve">Zoals in hoofdstuk 4 beschreven geldt </w:t>
      </w:r>
      <w:r w:rsidR="007A0C00">
        <w:t>2021</w:t>
      </w:r>
      <w:r>
        <w:t xml:space="preserve"> als basisjaar. In deze paragraaf worden </w:t>
      </w:r>
      <w:r w:rsidR="007A0C00">
        <w:t>dan ook nog geen veranderingen gepresenteerd en betreft het enkel de basis gegevens.</w:t>
      </w:r>
    </w:p>
    <w:p w14:paraId="66DC0B6F" w14:textId="77777777" w:rsidR="00AA6E37" w:rsidRDefault="00AA6E37" w:rsidP="00AA6E37">
      <w:pPr>
        <w:pStyle w:val="Geenafstand"/>
      </w:pPr>
    </w:p>
    <w:tbl>
      <w:tblPr>
        <w:tblStyle w:val="Tabelraster"/>
        <w:tblW w:w="0" w:type="auto"/>
        <w:tblLook w:val="04A0" w:firstRow="1" w:lastRow="0" w:firstColumn="1" w:lastColumn="0" w:noHBand="0" w:noVBand="1"/>
      </w:tblPr>
      <w:tblGrid>
        <w:gridCol w:w="3859"/>
        <w:gridCol w:w="1046"/>
        <w:gridCol w:w="1036"/>
        <w:gridCol w:w="1148"/>
        <w:gridCol w:w="1032"/>
        <w:gridCol w:w="941"/>
      </w:tblGrid>
      <w:tr w:rsidR="00C043CC" w14:paraId="02960D1D" w14:textId="77777777" w:rsidTr="00FD2A32">
        <w:tc>
          <w:tcPr>
            <w:tcW w:w="3859" w:type="dxa"/>
            <w:tcBorders>
              <w:top w:val="single" w:sz="4" w:space="0" w:color="auto"/>
              <w:left w:val="single" w:sz="4" w:space="0" w:color="auto"/>
              <w:bottom w:val="single" w:sz="4" w:space="0" w:color="auto"/>
              <w:right w:val="single" w:sz="4" w:space="0" w:color="auto"/>
            </w:tcBorders>
            <w:shd w:val="clear" w:color="auto" w:fill="0B3B60"/>
            <w:hideMark/>
          </w:tcPr>
          <w:p w14:paraId="6EA96A21" w14:textId="77777777" w:rsidR="00C043CC" w:rsidRDefault="00C043CC" w:rsidP="00FD2A32">
            <w:pPr>
              <w:pStyle w:val="Geenafstand"/>
              <w:rPr>
                <w:b/>
                <w:color w:val="FFFFFF" w:themeColor="background1"/>
                <w:lang w:eastAsia="en-US"/>
              </w:rPr>
            </w:pPr>
            <w:r>
              <w:rPr>
                <w:b/>
                <w:color w:val="FFFFFF" w:themeColor="background1"/>
                <w:lang w:eastAsia="en-US"/>
              </w:rPr>
              <w:t>Scope 1</w:t>
            </w:r>
          </w:p>
        </w:tc>
        <w:tc>
          <w:tcPr>
            <w:tcW w:w="1046" w:type="dxa"/>
            <w:tcBorders>
              <w:top w:val="single" w:sz="4" w:space="0" w:color="auto"/>
              <w:left w:val="single" w:sz="4" w:space="0" w:color="auto"/>
              <w:bottom w:val="single" w:sz="4" w:space="0" w:color="auto"/>
              <w:right w:val="single" w:sz="4" w:space="0" w:color="auto"/>
            </w:tcBorders>
            <w:shd w:val="clear" w:color="auto" w:fill="0B3B60"/>
            <w:hideMark/>
          </w:tcPr>
          <w:p w14:paraId="74596CD8" w14:textId="77777777" w:rsidR="00C043CC" w:rsidRDefault="00C043CC" w:rsidP="00FD2A32">
            <w:pPr>
              <w:pStyle w:val="Geenafstand"/>
              <w:rPr>
                <w:b/>
                <w:color w:val="FFFFFF" w:themeColor="background1"/>
                <w:lang w:eastAsia="en-US"/>
              </w:rPr>
            </w:pPr>
            <w:r>
              <w:rPr>
                <w:b/>
                <w:color w:val="FFFFFF" w:themeColor="background1"/>
                <w:lang w:eastAsia="en-US"/>
              </w:rPr>
              <w:t>2021</w:t>
            </w:r>
          </w:p>
        </w:tc>
        <w:tc>
          <w:tcPr>
            <w:tcW w:w="1036" w:type="dxa"/>
            <w:tcBorders>
              <w:top w:val="single" w:sz="4" w:space="0" w:color="auto"/>
              <w:left w:val="single" w:sz="4" w:space="0" w:color="auto"/>
              <w:bottom w:val="single" w:sz="4" w:space="0" w:color="auto"/>
              <w:right w:val="single" w:sz="4" w:space="0" w:color="auto"/>
            </w:tcBorders>
            <w:shd w:val="clear" w:color="auto" w:fill="0B3B60"/>
            <w:hideMark/>
          </w:tcPr>
          <w:p w14:paraId="25B19A39" w14:textId="77777777" w:rsidR="00C043CC" w:rsidRDefault="00C043CC" w:rsidP="00FD2A32">
            <w:pPr>
              <w:pStyle w:val="Geenafstand"/>
              <w:rPr>
                <w:b/>
                <w:color w:val="FFFFFF" w:themeColor="background1"/>
                <w:lang w:eastAsia="en-US"/>
              </w:rPr>
            </w:pPr>
            <w:r>
              <w:rPr>
                <w:b/>
                <w:color w:val="FFFFFF" w:themeColor="background1"/>
                <w:lang w:eastAsia="en-US"/>
              </w:rPr>
              <w:t>2022</w:t>
            </w:r>
          </w:p>
        </w:tc>
        <w:tc>
          <w:tcPr>
            <w:tcW w:w="1148" w:type="dxa"/>
            <w:tcBorders>
              <w:top w:val="single" w:sz="4" w:space="0" w:color="auto"/>
              <w:left w:val="single" w:sz="4" w:space="0" w:color="auto"/>
              <w:bottom w:val="single" w:sz="4" w:space="0" w:color="auto"/>
              <w:right w:val="single" w:sz="4" w:space="0" w:color="auto"/>
            </w:tcBorders>
            <w:shd w:val="clear" w:color="auto" w:fill="0B3B60"/>
            <w:hideMark/>
          </w:tcPr>
          <w:p w14:paraId="29764B02" w14:textId="77777777" w:rsidR="00C043CC" w:rsidRDefault="00C043CC" w:rsidP="00FD2A32">
            <w:pPr>
              <w:pStyle w:val="Geenafstand"/>
              <w:rPr>
                <w:b/>
                <w:color w:val="FFFFFF" w:themeColor="background1"/>
                <w:lang w:eastAsia="en-US"/>
              </w:rPr>
            </w:pPr>
            <w:r>
              <w:rPr>
                <w:b/>
                <w:color w:val="FFFFFF" w:themeColor="background1"/>
                <w:lang w:eastAsia="en-US"/>
              </w:rPr>
              <w:t>2023</w:t>
            </w:r>
          </w:p>
        </w:tc>
        <w:tc>
          <w:tcPr>
            <w:tcW w:w="1032" w:type="dxa"/>
            <w:tcBorders>
              <w:top w:val="single" w:sz="4" w:space="0" w:color="auto"/>
              <w:left w:val="single" w:sz="4" w:space="0" w:color="auto"/>
              <w:bottom w:val="single" w:sz="4" w:space="0" w:color="auto"/>
              <w:right w:val="single" w:sz="4" w:space="0" w:color="auto"/>
            </w:tcBorders>
            <w:shd w:val="clear" w:color="auto" w:fill="0B3B60"/>
            <w:hideMark/>
          </w:tcPr>
          <w:p w14:paraId="3A285E73" w14:textId="77777777" w:rsidR="00C043CC" w:rsidRDefault="00C043CC" w:rsidP="00FD2A32">
            <w:pPr>
              <w:pStyle w:val="Geenafstand"/>
              <w:rPr>
                <w:b/>
                <w:color w:val="FFFFFF" w:themeColor="background1"/>
                <w:lang w:eastAsia="en-US"/>
              </w:rPr>
            </w:pPr>
            <w:r>
              <w:rPr>
                <w:b/>
                <w:color w:val="FFFFFF" w:themeColor="background1"/>
                <w:lang w:eastAsia="en-US"/>
              </w:rPr>
              <w:t>2024</w:t>
            </w:r>
          </w:p>
        </w:tc>
        <w:tc>
          <w:tcPr>
            <w:tcW w:w="941" w:type="dxa"/>
            <w:tcBorders>
              <w:top w:val="single" w:sz="4" w:space="0" w:color="auto"/>
              <w:left w:val="single" w:sz="4" w:space="0" w:color="auto"/>
              <w:bottom w:val="single" w:sz="4" w:space="0" w:color="auto"/>
              <w:right w:val="single" w:sz="4" w:space="0" w:color="auto"/>
            </w:tcBorders>
            <w:shd w:val="clear" w:color="auto" w:fill="0B3B60"/>
            <w:hideMark/>
          </w:tcPr>
          <w:p w14:paraId="39BC29A2" w14:textId="77777777" w:rsidR="00C043CC" w:rsidRDefault="00C043CC" w:rsidP="00FD2A32">
            <w:pPr>
              <w:pStyle w:val="Geenafstand"/>
              <w:rPr>
                <w:b/>
                <w:color w:val="FFFFFF" w:themeColor="background1"/>
                <w:lang w:eastAsia="en-US"/>
              </w:rPr>
            </w:pPr>
            <w:r>
              <w:rPr>
                <w:b/>
                <w:color w:val="FFFFFF" w:themeColor="background1"/>
                <w:lang w:eastAsia="en-US"/>
              </w:rPr>
              <w:t>2025</w:t>
            </w:r>
          </w:p>
        </w:tc>
      </w:tr>
      <w:tr w:rsidR="00C043CC" w14:paraId="0E0B0A14" w14:textId="77777777" w:rsidTr="00FD2A32">
        <w:tc>
          <w:tcPr>
            <w:tcW w:w="3859" w:type="dxa"/>
            <w:tcBorders>
              <w:top w:val="single" w:sz="4" w:space="0" w:color="auto"/>
              <w:left w:val="single" w:sz="4" w:space="0" w:color="auto"/>
              <w:bottom w:val="single" w:sz="4" w:space="0" w:color="auto"/>
              <w:right w:val="single" w:sz="4" w:space="0" w:color="auto"/>
            </w:tcBorders>
            <w:hideMark/>
          </w:tcPr>
          <w:p w14:paraId="5181BC2B" w14:textId="77777777" w:rsidR="00C043CC" w:rsidRDefault="00C043CC" w:rsidP="00FD2A32">
            <w:r>
              <w:t>Gasverbruik</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791CA505" w14:textId="77777777" w:rsidR="00C043CC" w:rsidRDefault="00C043CC" w:rsidP="00FD2A32">
            <w:pPr>
              <w:pStyle w:val="Geenafstand"/>
              <w:jc w:val="right"/>
              <w:rPr>
                <w:lang w:eastAsia="en-US"/>
              </w:rPr>
            </w:pPr>
            <w:r>
              <w:rPr>
                <w:lang w:eastAsia="en-US"/>
              </w:rPr>
              <w:t>5,5</w:t>
            </w:r>
          </w:p>
        </w:tc>
        <w:tc>
          <w:tcPr>
            <w:tcW w:w="1036" w:type="dxa"/>
            <w:tcBorders>
              <w:top w:val="single" w:sz="4" w:space="0" w:color="auto"/>
              <w:left w:val="single" w:sz="4" w:space="0" w:color="auto"/>
              <w:bottom w:val="single" w:sz="4" w:space="0" w:color="auto"/>
              <w:right w:val="single" w:sz="4" w:space="0" w:color="auto"/>
            </w:tcBorders>
          </w:tcPr>
          <w:p w14:paraId="5AF3BB22" w14:textId="77777777" w:rsidR="00C043CC" w:rsidRDefault="00C043CC" w:rsidP="00FD2A32">
            <w:pPr>
              <w:pStyle w:val="Geenafstand"/>
              <w:rPr>
                <w:lang w:eastAsia="en-US"/>
              </w:rPr>
            </w:pPr>
            <w:r>
              <w:rPr>
                <w:lang w:eastAsia="en-US"/>
              </w:rPr>
              <w:t>3,5</w:t>
            </w:r>
          </w:p>
        </w:tc>
        <w:tc>
          <w:tcPr>
            <w:tcW w:w="1148" w:type="dxa"/>
            <w:tcBorders>
              <w:top w:val="single" w:sz="4" w:space="0" w:color="auto"/>
              <w:left w:val="single" w:sz="4" w:space="0" w:color="auto"/>
              <w:bottom w:val="single" w:sz="4" w:space="0" w:color="auto"/>
              <w:right w:val="single" w:sz="4" w:space="0" w:color="auto"/>
            </w:tcBorders>
          </w:tcPr>
          <w:p w14:paraId="535EED2E" w14:textId="77777777" w:rsidR="00C043CC" w:rsidRDefault="00C043CC" w:rsidP="00FD2A32">
            <w:pPr>
              <w:pStyle w:val="Geenafstand"/>
              <w:rPr>
                <w:lang w:eastAsia="en-US"/>
              </w:rPr>
            </w:pPr>
          </w:p>
        </w:tc>
        <w:tc>
          <w:tcPr>
            <w:tcW w:w="1032" w:type="dxa"/>
            <w:tcBorders>
              <w:top w:val="single" w:sz="4" w:space="0" w:color="auto"/>
              <w:left w:val="single" w:sz="4" w:space="0" w:color="auto"/>
              <w:bottom w:val="single" w:sz="4" w:space="0" w:color="auto"/>
              <w:right w:val="single" w:sz="4" w:space="0" w:color="auto"/>
            </w:tcBorders>
          </w:tcPr>
          <w:p w14:paraId="7BBDD1C7" w14:textId="77777777" w:rsidR="00C043CC" w:rsidRDefault="00C043CC" w:rsidP="00FD2A32">
            <w:pPr>
              <w:pStyle w:val="Geenafstand"/>
              <w:rPr>
                <w:lang w:eastAsia="en-US"/>
              </w:rPr>
            </w:pPr>
          </w:p>
        </w:tc>
        <w:tc>
          <w:tcPr>
            <w:tcW w:w="941" w:type="dxa"/>
            <w:tcBorders>
              <w:top w:val="single" w:sz="4" w:space="0" w:color="auto"/>
              <w:left w:val="single" w:sz="4" w:space="0" w:color="auto"/>
              <w:bottom w:val="single" w:sz="4" w:space="0" w:color="auto"/>
              <w:right w:val="single" w:sz="4" w:space="0" w:color="auto"/>
            </w:tcBorders>
          </w:tcPr>
          <w:p w14:paraId="3C25B7DA" w14:textId="77777777" w:rsidR="00C043CC" w:rsidRDefault="00C043CC" w:rsidP="00FD2A32">
            <w:pPr>
              <w:pStyle w:val="Geenafstand"/>
              <w:rPr>
                <w:lang w:eastAsia="en-US"/>
              </w:rPr>
            </w:pPr>
          </w:p>
        </w:tc>
      </w:tr>
      <w:tr w:rsidR="00C043CC" w14:paraId="258E78D8" w14:textId="77777777" w:rsidTr="00FD2A32">
        <w:tc>
          <w:tcPr>
            <w:tcW w:w="3859" w:type="dxa"/>
            <w:tcBorders>
              <w:top w:val="single" w:sz="4" w:space="0" w:color="auto"/>
              <w:left w:val="single" w:sz="4" w:space="0" w:color="auto"/>
              <w:bottom w:val="single" w:sz="4" w:space="0" w:color="auto"/>
              <w:right w:val="single" w:sz="4" w:space="0" w:color="auto"/>
            </w:tcBorders>
            <w:hideMark/>
          </w:tcPr>
          <w:p w14:paraId="588E599C" w14:textId="77777777" w:rsidR="00C043CC" w:rsidRDefault="00C043CC" w:rsidP="00FD2A32">
            <w:r>
              <w:t>Brandstofverbruik diesel</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6810A649" w14:textId="77777777" w:rsidR="00C043CC" w:rsidRDefault="00C043CC" w:rsidP="00FD2A32">
            <w:pPr>
              <w:pStyle w:val="Geenafstand"/>
              <w:jc w:val="right"/>
              <w:rPr>
                <w:lang w:eastAsia="en-US"/>
              </w:rPr>
            </w:pPr>
            <w:r>
              <w:rPr>
                <w:lang w:eastAsia="en-US"/>
              </w:rPr>
              <w:t>61,4</w:t>
            </w:r>
          </w:p>
        </w:tc>
        <w:tc>
          <w:tcPr>
            <w:tcW w:w="1036" w:type="dxa"/>
            <w:tcBorders>
              <w:top w:val="single" w:sz="4" w:space="0" w:color="auto"/>
              <w:left w:val="single" w:sz="4" w:space="0" w:color="auto"/>
              <w:bottom w:val="single" w:sz="4" w:space="0" w:color="auto"/>
              <w:right w:val="single" w:sz="4" w:space="0" w:color="auto"/>
            </w:tcBorders>
          </w:tcPr>
          <w:p w14:paraId="61C83EF2" w14:textId="77777777" w:rsidR="00C043CC" w:rsidRDefault="00C043CC" w:rsidP="00FD2A32">
            <w:pPr>
              <w:pStyle w:val="Geenafstand"/>
              <w:rPr>
                <w:lang w:eastAsia="en-US"/>
              </w:rPr>
            </w:pPr>
            <w:r>
              <w:rPr>
                <w:lang w:eastAsia="en-US"/>
              </w:rPr>
              <w:t>55,1</w:t>
            </w:r>
          </w:p>
        </w:tc>
        <w:tc>
          <w:tcPr>
            <w:tcW w:w="1148" w:type="dxa"/>
            <w:tcBorders>
              <w:top w:val="single" w:sz="4" w:space="0" w:color="auto"/>
              <w:left w:val="single" w:sz="4" w:space="0" w:color="auto"/>
              <w:bottom w:val="single" w:sz="4" w:space="0" w:color="auto"/>
              <w:right w:val="single" w:sz="4" w:space="0" w:color="auto"/>
            </w:tcBorders>
          </w:tcPr>
          <w:p w14:paraId="5A23B07D" w14:textId="77777777" w:rsidR="00C043CC" w:rsidRDefault="00C043CC" w:rsidP="00FD2A32">
            <w:pPr>
              <w:pStyle w:val="Geenafstand"/>
              <w:rPr>
                <w:lang w:eastAsia="en-US"/>
              </w:rPr>
            </w:pPr>
          </w:p>
        </w:tc>
        <w:tc>
          <w:tcPr>
            <w:tcW w:w="1032" w:type="dxa"/>
            <w:tcBorders>
              <w:top w:val="single" w:sz="4" w:space="0" w:color="auto"/>
              <w:left w:val="single" w:sz="4" w:space="0" w:color="auto"/>
              <w:bottom w:val="single" w:sz="4" w:space="0" w:color="auto"/>
              <w:right w:val="single" w:sz="4" w:space="0" w:color="auto"/>
            </w:tcBorders>
          </w:tcPr>
          <w:p w14:paraId="26369ECD" w14:textId="77777777" w:rsidR="00C043CC" w:rsidRDefault="00C043CC" w:rsidP="00FD2A32">
            <w:pPr>
              <w:pStyle w:val="Geenafstand"/>
              <w:rPr>
                <w:lang w:eastAsia="en-US"/>
              </w:rPr>
            </w:pPr>
          </w:p>
        </w:tc>
        <w:tc>
          <w:tcPr>
            <w:tcW w:w="941" w:type="dxa"/>
            <w:tcBorders>
              <w:top w:val="single" w:sz="4" w:space="0" w:color="auto"/>
              <w:left w:val="single" w:sz="4" w:space="0" w:color="auto"/>
              <w:bottom w:val="single" w:sz="4" w:space="0" w:color="auto"/>
              <w:right w:val="single" w:sz="4" w:space="0" w:color="auto"/>
            </w:tcBorders>
          </w:tcPr>
          <w:p w14:paraId="1876EDD3" w14:textId="77777777" w:rsidR="00C043CC" w:rsidRDefault="00C043CC" w:rsidP="00FD2A32">
            <w:pPr>
              <w:pStyle w:val="Geenafstand"/>
              <w:rPr>
                <w:lang w:eastAsia="en-US"/>
              </w:rPr>
            </w:pPr>
          </w:p>
        </w:tc>
      </w:tr>
      <w:tr w:rsidR="00C043CC" w14:paraId="6362C30A" w14:textId="77777777" w:rsidTr="00FD2A32">
        <w:tc>
          <w:tcPr>
            <w:tcW w:w="3859" w:type="dxa"/>
            <w:tcBorders>
              <w:top w:val="single" w:sz="4" w:space="0" w:color="auto"/>
              <w:left w:val="single" w:sz="4" w:space="0" w:color="auto"/>
              <w:bottom w:val="single" w:sz="4" w:space="0" w:color="auto"/>
              <w:right w:val="single" w:sz="4" w:space="0" w:color="auto"/>
            </w:tcBorders>
            <w:hideMark/>
          </w:tcPr>
          <w:p w14:paraId="65BEAAFE" w14:textId="77777777" w:rsidR="00C043CC" w:rsidRDefault="00C043CC" w:rsidP="00FD2A32">
            <w:r>
              <w:t>Brandstofverbruik benzine</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5EB2B8C6" w14:textId="77777777" w:rsidR="00C043CC" w:rsidRDefault="00C043CC" w:rsidP="00FD2A32">
            <w:pPr>
              <w:pStyle w:val="Geenafstand"/>
              <w:jc w:val="right"/>
              <w:rPr>
                <w:lang w:eastAsia="en-US"/>
              </w:rPr>
            </w:pPr>
            <w:r>
              <w:rPr>
                <w:lang w:eastAsia="en-US"/>
              </w:rPr>
              <w:t>4,8</w:t>
            </w:r>
          </w:p>
        </w:tc>
        <w:tc>
          <w:tcPr>
            <w:tcW w:w="1036" w:type="dxa"/>
            <w:tcBorders>
              <w:top w:val="single" w:sz="4" w:space="0" w:color="auto"/>
              <w:left w:val="single" w:sz="4" w:space="0" w:color="auto"/>
              <w:bottom w:val="single" w:sz="4" w:space="0" w:color="auto"/>
              <w:right w:val="single" w:sz="4" w:space="0" w:color="auto"/>
            </w:tcBorders>
          </w:tcPr>
          <w:p w14:paraId="0967705B" w14:textId="77777777" w:rsidR="00C043CC" w:rsidRDefault="00C043CC" w:rsidP="00FD2A32">
            <w:pPr>
              <w:pStyle w:val="Geenafstand"/>
              <w:rPr>
                <w:lang w:eastAsia="en-US"/>
              </w:rPr>
            </w:pPr>
            <w:r>
              <w:rPr>
                <w:lang w:eastAsia="en-US"/>
              </w:rPr>
              <w:t>4,2</w:t>
            </w:r>
          </w:p>
        </w:tc>
        <w:tc>
          <w:tcPr>
            <w:tcW w:w="1148" w:type="dxa"/>
            <w:tcBorders>
              <w:top w:val="single" w:sz="4" w:space="0" w:color="auto"/>
              <w:left w:val="single" w:sz="4" w:space="0" w:color="auto"/>
              <w:bottom w:val="single" w:sz="4" w:space="0" w:color="auto"/>
              <w:right w:val="single" w:sz="4" w:space="0" w:color="auto"/>
            </w:tcBorders>
          </w:tcPr>
          <w:p w14:paraId="604E002A" w14:textId="77777777" w:rsidR="00C043CC" w:rsidRDefault="00C043CC" w:rsidP="00FD2A32">
            <w:pPr>
              <w:pStyle w:val="Geenafstand"/>
              <w:rPr>
                <w:lang w:eastAsia="en-US"/>
              </w:rPr>
            </w:pPr>
          </w:p>
        </w:tc>
        <w:tc>
          <w:tcPr>
            <w:tcW w:w="1032" w:type="dxa"/>
            <w:tcBorders>
              <w:top w:val="single" w:sz="4" w:space="0" w:color="auto"/>
              <w:left w:val="single" w:sz="4" w:space="0" w:color="auto"/>
              <w:bottom w:val="single" w:sz="4" w:space="0" w:color="auto"/>
              <w:right w:val="single" w:sz="4" w:space="0" w:color="auto"/>
            </w:tcBorders>
          </w:tcPr>
          <w:p w14:paraId="2B693270" w14:textId="77777777" w:rsidR="00C043CC" w:rsidRDefault="00C043CC" w:rsidP="00FD2A32">
            <w:pPr>
              <w:pStyle w:val="Geenafstand"/>
              <w:rPr>
                <w:lang w:eastAsia="en-US"/>
              </w:rPr>
            </w:pPr>
          </w:p>
        </w:tc>
        <w:tc>
          <w:tcPr>
            <w:tcW w:w="941" w:type="dxa"/>
            <w:tcBorders>
              <w:top w:val="single" w:sz="4" w:space="0" w:color="auto"/>
              <w:left w:val="single" w:sz="4" w:space="0" w:color="auto"/>
              <w:bottom w:val="single" w:sz="4" w:space="0" w:color="auto"/>
              <w:right w:val="single" w:sz="4" w:space="0" w:color="auto"/>
            </w:tcBorders>
          </w:tcPr>
          <w:p w14:paraId="7DC0AABB" w14:textId="77777777" w:rsidR="00C043CC" w:rsidRDefault="00C043CC" w:rsidP="00FD2A32">
            <w:pPr>
              <w:pStyle w:val="Geenafstand"/>
              <w:rPr>
                <w:lang w:eastAsia="en-US"/>
              </w:rPr>
            </w:pPr>
          </w:p>
        </w:tc>
      </w:tr>
      <w:tr w:rsidR="00C043CC" w14:paraId="72A93317" w14:textId="77777777" w:rsidTr="00FD2A32">
        <w:tc>
          <w:tcPr>
            <w:tcW w:w="3859" w:type="dxa"/>
            <w:tcBorders>
              <w:top w:val="single" w:sz="4" w:space="0" w:color="auto"/>
              <w:left w:val="single" w:sz="4" w:space="0" w:color="auto"/>
              <w:bottom w:val="single" w:sz="4" w:space="0" w:color="auto"/>
              <w:right w:val="single" w:sz="4" w:space="0" w:color="auto"/>
            </w:tcBorders>
            <w:hideMark/>
          </w:tcPr>
          <w:p w14:paraId="5EE14141" w14:textId="77777777" w:rsidR="00C043CC" w:rsidRDefault="00C043CC" w:rsidP="00FD2A32">
            <w:r>
              <w:rPr>
                <w:rFonts w:cs="Calibri"/>
              </w:rPr>
              <w:t>Motomix Stihl</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029146AA" w14:textId="77777777" w:rsidR="00C043CC" w:rsidRDefault="00C043CC" w:rsidP="00FD2A32">
            <w:pPr>
              <w:pStyle w:val="Geenafstand"/>
              <w:jc w:val="right"/>
              <w:rPr>
                <w:lang w:eastAsia="en-US"/>
              </w:rPr>
            </w:pPr>
            <w:r>
              <w:rPr>
                <w:lang w:eastAsia="en-US"/>
              </w:rPr>
              <w:t>0,1</w:t>
            </w:r>
          </w:p>
        </w:tc>
        <w:tc>
          <w:tcPr>
            <w:tcW w:w="1036" w:type="dxa"/>
            <w:tcBorders>
              <w:top w:val="single" w:sz="4" w:space="0" w:color="auto"/>
              <w:left w:val="single" w:sz="4" w:space="0" w:color="auto"/>
              <w:bottom w:val="single" w:sz="4" w:space="0" w:color="auto"/>
              <w:right w:val="single" w:sz="4" w:space="0" w:color="auto"/>
            </w:tcBorders>
          </w:tcPr>
          <w:p w14:paraId="1A509864" w14:textId="77777777" w:rsidR="00C043CC" w:rsidRDefault="00C043CC" w:rsidP="00FD2A32">
            <w:pPr>
              <w:pStyle w:val="Geenafstand"/>
              <w:rPr>
                <w:lang w:eastAsia="en-US"/>
              </w:rPr>
            </w:pPr>
            <w:r>
              <w:rPr>
                <w:lang w:eastAsia="en-US"/>
              </w:rPr>
              <w:t>0,0</w:t>
            </w:r>
          </w:p>
        </w:tc>
        <w:tc>
          <w:tcPr>
            <w:tcW w:w="1148" w:type="dxa"/>
            <w:tcBorders>
              <w:top w:val="single" w:sz="4" w:space="0" w:color="auto"/>
              <w:left w:val="single" w:sz="4" w:space="0" w:color="auto"/>
              <w:bottom w:val="single" w:sz="4" w:space="0" w:color="auto"/>
              <w:right w:val="single" w:sz="4" w:space="0" w:color="auto"/>
            </w:tcBorders>
          </w:tcPr>
          <w:p w14:paraId="20F2E363" w14:textId="77777777" w:rsidR="00C043CC" w:rsidRDefault="00C043CC" w:rsidP="00FD2A32">
            <w:pPr>
              <w:pStyle w:val="Geenafstand"/>
              <w:rPr>
                <w:lang w:eastAsia="en-US"/>
              </w:rPr>
            </w:pPr>
          </w:p>
        </w:tc>
        <w:tc>
          <w:tcPr>
            <w:tcW w:w="1032" w:type="dxa"/>
            <w:tcBorders>
              <w:top w:val="single" w:sz="4" w:space="0" w:color="auto"/>
              <w:left w:val="single" w:sz="4" w:space="0" w:color="auto"/>
              <w:bottom w:val="single" w:sz="4" w:space="0" w:color="auto"/>
              <w:right w:val="single" w:sz="4" w:space="0" w:color="auto"/>
            </w:tcBorders>
          </w:tcPr>
          <w:p w14:paraId="210A1A25" w14:textId="77777777" w:rsidR="00C043CC" w:rsidRDefault="00C043CC" w:rsidP="00FD2A32">
            <w:pPr>
              <w:pStyle w:val="Geenafstand"/>
              <w:rPr>
                <w:lang w:eastAsia="en-US"/>
              </w:rPr>
            </w:pPr>
          </w:p>
        </w:tc>
        <w:tc>
          <w:tcPr>
            <w:tcW w:w="941" w:type="dxa"/>
            <w:tcBorders>
              <w:top w:val="single" w:sz="4" w:space="0" w:color="auto"/>
              <w:left w:val="single" w:sz="4" w:space="0" w:color="auto"/>
              <w:bottom w:val="single" w:sz="4" w:space="0" w:color="auto"/>
              <w:right w:val="single" w:sz="4" w:space="0" w:color="auto"/>
            </w:tcBorders>
          </w:tcPr>
          <w:p w14:paraId="1B99B45E" w14:textId="77777777" w:rsidR="00C043CC" w:rsidRDefault="00C043CC" w:rsidP="00FD2A32">
            <w:pPr>
              <w:pStyle w:val="Geenafstand"/>
              <w:rPr>
                <w:lang w:eastAsia="en-US"/>
              </w:rPr>
            </w:pPr>
          </w:p>
        </w:tc>
      </w:tr>
      <w:tr w:rsidR="00C043CC" w14:paraId="16C3DDD4" w14:textId="77777777" w:rsidTr="00FD2A32">
        <w:tc>
          <w:tcPr>
            <w:tcW w:w="3859" w:type="dxa"/>
            <w:tcBorders>
              <w:top w:val="single" w:sz="4" w:space="0" w:color="auto"/>
              <w:left w:val="single" w:sz="4" w:space="0" w:color="auto"/>
              <w:bottom w:val="single" w:sz="4" w:space="0" w:color="auto"/>
              <w:right w:val="single" w:sz="4" w:space="0" w:color="auto"/>
            </w:tcBorders>
            <w:hideMark/>
          </w:tcPr>
          <w:p w14:paraId="6019FB5B" w14:textId="77777777" w:rsidR="00C043CC" w:rsidRDefault="00C043CC" w:rsidP="00FD2A32">
            <w:pPr>
              <w:pStyle w:val="Geenafstand"/>
              <w:rPr>
                <w:b/>
                <w:lang w:eastAsia="en-US"/>
              </w:rPr>
            </w:pPr>
            <w:r>
              <w:rPr>
                <w:b/>
                <w:lang w:eastAsia="en-US"/>
              </w:rPr>
              <w:t>Totaal scope 1</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5FCCB197" w14:textId="77777777" w:rsidR="00C043CC" w:rsidRDefault="00C043CC" w:rsidP="00FD2A32">
            <w:pPr>
              <w:pStyle w:val="Geenafstand"/>
              <w:jc w:val="right"/>
              <w:rPr>
                <w:b/>
                <w:lang w:eastAsia="en-US"/>
              </w:rPr>
            </w:pPr>
            <w:r>
              <w:rPr>
                <w:b/>
                <w:lang w:eastAsia="en-US"/>
              </w:rPr>
              <w:t>71,9</w:t>
            </w:r>
          </w:p>
        </w:tc>
        <w:tc>
          <w:tcPr>
            <w:tcW w:w="1036" w:type="dxa"/>
            <w:tcBorders>
              <w:top w:val="single" w:sz="4" w:space="0" w:color="auto"/>
              <w:left w:val="single" w:sz="4" w:space="0" w:color="auto"/>
              <w:bottom w:val="single" w:sz="4" w:space="0" w:color="auto"/>
              <w:right w:val="single" w:sz="4" w:space="0" w:color="auto"/>
            </w:tcBorders>
          </w:tcPr>
          <w:p w14:paraId="4AC5DE66" w14:textId="77777777" w:rsidR="00C043CC" w:rsidRDefault="00C043CC" w:rsidP="00FD2A32">
            <w:pPr>
              <w:pStyle w:val="Geenafstand"/>
              <w:rPr>
                <w:b/>
                <w:lang w:eastAsia="en-US"/>
              </w:rPr>
            </w:pPr>
            <w:r>
              <w:rPr>
                <w:b/>
                <w:lang w:eastAsia="en-US"/>
              </w:rPr>
              <w:t>62,7</w:t>
            </w:r>
          </w:p>
        </w:tc>
        <w:tc>
          <w:tcPr>
            <w:tcW w:w="1148" w:type="dxa"/>
            <w:tcBorders>
              <w:top w:val="single" w:sz="4" w:space="0" w:color="auto"/>
              <w:left w:val="single" w:sz="4" w:space="0" w:color="auto"/>
              <w:bottom w:val="single" w:sz="4" w:space="0" w:color="auto"/>
              <w:right w:val="single" w:sz="4" w:space="0" w:color="auto"/>
            </w:tcBorders>
          </w:tcPr>
          <w:p w14:paraId="23F1C227" w14:textId="77777777" w:rsidR="00C043CC" w:rsidRDefault="00C043CC" w:rsidP="00FD2A32">
            <w:pPr>
              <w:pStyle w:val="Geenafstand"/>
              <w:rPr>
                <w:b/>
                <w:lang w:eastAsia="en-US"/>
              </w:rPr>
            </w:pPr>
          </w:p>
        </w:tc>
        <w:tc>
          <w:tcPr>
            <w:tcW w:w="1032" w:type="dxa"/>
            <w:tcBorders>
              <w:top w:val="single" w:sz="4" w:space="0" w:color="auto"/>
              <w:left w:val="single" w:sz="4" w:space="0" w:color="auto"/>
              <w:bottom w:val="single" w:sz="4" w:space="0" w:color="auto"/>
              <w:right w:val="single" w:sz="4" w:space="0" w:color="auto"/>
            </w:tcBorders>
          </w:tcPr>
          <w:p w14:paraId="0CB21682" w14:textId="77777777" w:rsidR="00C043CC" w:rsidRDefault="00C043CC" w:rsidP="00FD2A32">
            <w:pPr>
              <w:pStyle w:val="Geenafstand"/>
              <w:rPr>
                <w:b/>
                <w:lang w:eastAsia="en-US"/>
              </w:rPr>
            </w:pPr>
          </w:p>
        </w:tc>
        <w:tc>
          <w:tcPr>
            <w:tcW w:w="941" w:type="dxa"/>
            <w:tcBorders>
              <w:top w:val="single" w:sz="4" w:space="0" w:color="auto"/>
              <w:left w:val="single" w:sz="4" w:space="0" w:color="auto"/>
              <w:bottom w:val="single" w:sz="4" w:space="0" w:color="auto"/>
              <w:right w:val="single" w:sz="4" w:space="0" w:color="auto"/>
            </w:tcBorders>
          </w:tcPr>
          <w:p w14:paraId="27161F84" w14:textId="77777777" w:rsidR="00C043CC" w:rsidRDefault="00C043CC" w:rsidP="00FD2A32">
            <w:pPr>
              <w:pStyle w:val="Geenafstand"/>
              <w:rPr>
                <w:b/>
                <w:lang w:eastAsia="en-US"/>
              </w:rPr>
            </w:pPr>
          </w:p>
        </w:tc>
      </w:tr>
      <w:tr w:rsidR="00C043CC" w14:paraId="52B71569" w14:textId="77777777" w:rsidTr="00FD2A32">
        <w:tc>
          <w:tcPr>
            <w:tcW w:w="3859" w:type="dxa"/>
            <w:tcBorders>
              <w:top w:val="single" w:sz="4" w:space="0" w:color="auto"/>
              <w:left w:val="single" w:sz="4" w:space="0" w:color="auto"/>
              <w:bottom w:val="single" w:sz="4" w:space="0" w:color="auto"/>
              <w:right w:val="single" w:sz="4" w:space="0" w:color="auto"/>
            </w:tcBorders>
          </w:tcPr>
          <w:p w14:paraId="7321BD71" w14:textId="77777777" w:rsidR="00C043CC" w:rsidRDefault="00C043CC" w:rsidP="00FD2A32">
            <w:pPr>
              <w:pStyle w:val="Geenafstand"/>
              <w:rPr>
                <w:lang w:eastAsia="en-US"/>
              </w:rPr>
            </w:pPr>
          </w:p>
        </w:tc>
        <w:tc>
          <w:tcPr>
            <w:tcW w:w="1046" w:type="dxa"/>
            <w:tcBorders>
              <w:top w:val="single" w:sz="4" w:space="0" w:color="auto"/>
              <w:left w:val="single" w:sz="4" w:space="0" w:color="auto"/>
              <w:bottom w:val="single" w:sz="4" w:space="0" w:color="auto"/>
              <w:right w:val="single" w:sz="4" w:space="0" w:color="auto"/>
            </w:tcBorders>
          </w:tcPr>
          <w:p w14:paraId="706D976D" w14:textId="77777777" w:rsidR="00C043CC" w:rsidRDefault="00C043CC" w:rsidP="00FD2A32">
            <w:pPr>
              <w:pStyle w:val="Geenafstand"/>
              <w:rPr>
                <w:lang w:eastAsia="en-US"/>
              </w:rPr>
            </w:pPr>
          </w:p>
        </w:tc>
        <w:tc>
          <w:tcPr>
            <w:tcW w:w="1036" w:type="dxa"/>
            <w:tcBorders>
              <w:top w:val="single" w:sz="4" w:space="0" w:color="auto"/>
              <w:left w:val="single" w:sz="4" w:space="0" w:color="auto"/>
              <w:bottom w:val="single" w:sz="4" w:space="0" w:color="auto"/>
              <w:right w:val="single" w:sz="4" w:space="0" w:color="auto"/>
            </w:tcBorders>
          </w:tcPr>
          <w:p w14:paraId="375728B5" w14:textId="77777777" w:rsidR="00C043CC" w:rsidRDefault="00C043CC" w:rsidP="00FD2A32">
            <w:pPr>
              <w:pStyle w:val="Geenafstand"/>
              <w:rPr>
                <w:lang w:eastAsia="en-US"/>
              </w:rPr>
            </w:pPr>
          </w:p>
        </w:tc>
        <w:tc>
          <w:tcPr>
            <w:tcW w:w="1148" w:type="dxa"/>
            <w:tcBorders>
              <w:top w:val="single" w:sz="4" w:space="0" w:color="auto"/>
              <w:left w:val="single" w:sz="4" w:space="0" w:color="auto"/>
              <w:bottom w:val="single" w:sz="4" w:space="0" w:color="auto"/>
              <w:right w:val="single" w:sz="4" w:space="0" w:color="auto"/>
            </w:tcBorders>
          </w:tcPr>
          <w:p w14:paraId="25C18830" w14:textId="77777777" w:rsidR="00C043CC" w:rsidRDefault="00C043CC" w:rsidP="00FD2A32">
            <w:pPr>
              <w:pStyle w:val="Geenafstand"/>
              <w:rPr>
                <w:lang w:eastAsia="en-US"/>
              </w:rPr>
            </w:pPr>
          </w:p>
        </w:tc>
        <w:tc>
          <w:tcPr>
            <w:tcW w:w="1032" w:type="dxa"/>
            <w:tcBorders>
              <w:top w:val="single" w:sz="4" w:space="0" w:color="auto"/>
              <w:left w:val="single" w:sz="4" w:space="0" w:color="auto"/>
              <w:bottom w:val="single" w:sz="4" w:space="0" w:color="auto"/>
              <w:right w:val="single" w:sz="4" w:space="0" w:color="auto"/>
            </w:tcBorders>
          </w:tcPr>
          <w:p w14:paraId="0C926A83" w14:textId="77777777" w:rsidR="00C043CC" w:rsidRDefault="00C043CC" w:rsidP="00FD2A32">
            <w:pPr>
              <w:pStyle w:val="Geenafstand"/>
              <w:rPr>
                <w:lang w:eastAsia="en-US"/>
              </w:rPr>
            </w:pPr>
          </w:p>
        </w:tc>
        <w:tc>
          <w:tcPr>
            <w:tcW w:w="941" w:type="dxa"/>
            <w:tcBorders>
              <w:top w:val="single" w:sz="4" w:space="0" w:color="auto"/>
              <w:left w:val="single" w:sz="4" w:space="0" w:color="auto"/>
              <w:bottom w:val="single" w:sz="4" w:space="0" w:color="auto"/>
              <w:right w:val="single" w:sz="4" w:space="0" w:color="auto"/>
            </w:tcBorders>
          </w:tcPr>
          <w:p w14:paraId="680CEB98" w14:textId="77777777" w:rsidR="00C043CC" w:rsidRDefault="00C043CC" w:rsidP="00FD2A32">
            <w:pPr>
              <w:pStyle w:val="Geenafstand"/>
              <w:rPr>
                <w:lang w:eastAsia="en-US"/>
              </w:rPr>
            </w:pPr>
          </w:p>
        </w:tc>
      </w:tr>
      <w:tr w:rsidR="00C043CC" w14:paraId="1E37A2ED" w14:textId="77777777" w:rsidTr="00FD2A32">
        <w:tc>
          <w:tcPr>
            <w:tcW w:w="3859" w:type="dxa"/>
            <w:tcBorders>
              <w:top w:val="single" w:sz="4" w:space="0" w:color="auto"/>
              <w:left w:val="single" w:sz="4" w:space="0" w:color="auto"/>
              <w:bottom w:val="single" w:sz="4" w:space="0" w:color="auto"/>
              <w:right w:val="single" w:sz="4" w:space="0" w:color="auto"/>
            </w:tcBorders>
            <w:shd w:val="clear" w:color="auto" w:fill="0B3B60"/>
            <w:hideMark/>
          </w:tcPr>
          <w:p w14:paraId="54BD4C43" w14:textId="77777777" w:rsidR="00C043CC" w:rsidRDefault="00C043CC" w:rsidP="00FD2A32">
            <w:pPr>
              <w:pStyle w:val="Geenafstand"/>
              <w:rPr>
                <w:b/>
                <w:color w:val="FFFFFF" w:themeColor="background1"/>
                <w:lang w:eastAsia="en-US"/>
              </w:rPr>
            </w:pPr>
            <w:r>
              <w:rPr>
                <w:b/>
                <w:color w:val="FFFFFF" w:themeColor="background1"/>
                <w:lang w:eastAsia="en-US"/>
              </w:rPr>
              <w:t>Scope 2</w:t>
            </w:r>
          </w:p>
        </w:tc>
        <w:tc>
          <w:tcPr>
            <w:tcW w:w="1046" w:type="dxa"/>
            <w:tcBorders>
              <w:top w:val="single" w:sz="4" w:space="0" w:color="auto"/>
              <w:left w:val="single" w:sz="4" w:space="0" w:color="auto"/>
              <w:bottom w:val="single" w:sz="4" w:space="0" w:color="auto"/>
              <w:right w:val="single" w:sz="4" w:space="0" w:color="auto"/>
            </w:tcBorders>
            <w:shd w:val="clear" w:color="auto" w:fill="0B3B60"/>
          </w:tcPr>
          <w:p w14:paraId="7D238E7D" w14:textId="77777777" w:rsidR="00C043CC" w:rsidRDefault="00C043CC" w:rsidP="00FD2A32">
            <w:pPr>
              <w:pStyle w:val="Geenafstand"/>
              <w:rPr>
                <w:b/>
                <w:color w:val="FFFFFF" w:themeColor="background1"/>
                <w:lang w:eastAsia="en-US"/>
              </w:rPr>
            </w:pPr>
          </w:p>
        </w:tc>
        <w:tc>
          <w:tcPr>
            <w:tcW w:w="1036" w:type="dxa"/>
            <w:tcBorders>
              <w:top w:val="single" w:sz="4" w:space="0" w:color="auto"/>
              <w:left w:val="single" w:sz="4" w:space="0" w:color="auto"/>
              <w:bottom w:val="single" w:sz="4" w:space="0" w:color="auto"/>
              <w:right w:val="single" w:sz="4" w:space="0" w:color="auto"/>
            </w:tcBorders>
            <w:shd w:val="clear" w:color="auto" w:fill="0B3B60"/>
          </w:tcPr>
          <w:p w14:paraId="581E3DAE" w14:textId="77777777" w:rsidR="00C043CC" w:rsidRDefault="00C043CC" w:rsidP="00FD2A32">
            <w:pPr>
              <w:pStyle w:val="Geenafstand"/>
              <w:rPr>
                <w:b/>
                <w:color w:val="FFFFFF" w:themeColor="background1"/>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0B3B60"/>
          </w:tcPr>
          <w:p w14:paraId="1B31282F" w14:textId="77777777" w:rsidR="00C043CC" w:rsidRDefault="00C043CC" w:rsidP="00FD2A32">
            <w:pPr>
              <w:pStyle w:val="Geenafstand"/>
              <w:rPr>
                <w:b/>
                <w:color w:val="FFFFFF" w:themeColor="background1"/>
                <w:lang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0B3B60"/>
          </w:tcPr>
          <w:p w14:paraId="47DF6319" w14:textId="77777777" w:rsidR="00C043CC" w:rsidRDefault="00C043CC" w:rsidP="00FD2A32">
            <w:pPr>
              <w:pStyle w:val="Geenafstand"/>
              <w:rPr>
                <w:b/>
                <w:color w:val="FFFFFF" w:themeColor="background1"/>
                <w:lang w:eastAsia="en-US"/>
              </w:rPr>
            </w:pPr>
          </w:p>
        </w:tc>
        <w:tc>
          <w:tcPr>
            <w:tcW w:w="941" w:type="dxa"/>
            <w:tcBorders>
              <w:top w:val="single" w:sz="4" w:space="0" w:color="auto"/>
              <w:left w:val="single" w:sz="4" w:space="0" w:color="auto"/>
              <w:bottom w:val="single" w:sz="4" w:space="0" w:color="auto"/>
              <w:right w:val="single" w:sz="4" w:space="0" w:color="auto"/>
            </w:tcBorders>
            <w:shd w:val="clear" w:color="auto" w:fill="0B3B60"/>
          </w:tcPr>
          <w:p w14:paraId="5FE98F9F" w14:textId="77777777" w:rsidR="00C043CC" w:rsidRDefault="00C043CC" w:rsidP="00FD2A32">
            <w:pPr>
              <w:pStyle w:val="Geenafstand"/>
              <w:rPr>
                <w:b/>
                <w:color w:val="FFFFFF" w:themeColor="background1"/>
                <w:lang w:eastAsia="en-US"/>
              </w:rPr>
            </w:pPr>
          </w:p>
        </w:tc>
      </w:tr>
      <w:tr w:rsidR="00C043CC" w14:paraId="0CF5D0A9" w14:textId="77777777" w:rsidTr="00FD2A32">
        <w:tc>
          <w:tcPr>
            <w:tcW w:w="3859" w:type="dxa"/>
            <w:tcBorders>
              <w:top w:val="single" w:sz="4" w:space="0" w:color="auto"/>
              <w:left w:val="single" w:sz="4" w:space="0" w:color="auto"/>
              <w:bottom w:val="single" w:sz="4" w:space="0" w:color="auto"/>
              <w:right w:val="single" w:sz="4" w:space="0" w:color="auto"/>
            </w:tcBorders>
            <w:hideMark/>
          </w:tcPr>
          <w:p w14:paraId="5772219B" w14:textId="77777777" w:rsidR="00C043CC" w:rsidRDefault="00C043CC" w:rsidP="00FD2A32">
            <w:pPr>
              <w:pStyle w:val="Geenafstand"/>
              <w:rPr>
                <w:lang w:eastAsia="en-US"/>
              </w:rPr>
            </w:pPr>
            <w:r>
              <w:rPr>
                <w:lang w:eastAsia="en-US"/>
              </w:rPr>
              <w:t xml:space="preserve">Elektra </w:t>
            </w:r>
          </w:p>
        </w:tc>
        <w:tc>
          <w:tcPr>
            <w:tcW w:w="1046" w:type="dxa"/>
            <w:tcBorders>
              <w:top w:val="single" w:sz="4" w:space="0" w:color="auto"/>
              <w:left w:val="single" w:sz="4" w:space="0" w:color="auto"/>
              <w:bottom w:val="single" w:sz="4" w:space="0" w:color="auto"/>
              <w:right w:val="single" w:sz="4" w:space="0" w:color="auto"/>
            </w:tcBorders>
            <w:hideMark/>
          </w:tcPr>
          <w:p w14:paraId="50802A66" w14:textId="77777777" w:rsidR="00C043CC" w:rsidRDefault="00C043CC" w:rsidP="00FD2A32">
            <w:pPr>
              <w:pStyle w:val="Geenafstand"/>
              <w:jc w:val="right"/>
              <w:rPr>
                <w:lang w:eastAsia="en-US"/>
              </w:rPr>
            </w:pPr>
            <w:r>
              <w:rPr>
                <w:lang w:eastAsia="en-US"/>
              </w:rPr>
              <w:t>0,05</w:t>
            </w:r>
          </w:p>
        </w:tc>
        <w:tc>
          <w:tcPr>
            <w:tcW w:w="1036" w:type="dxa"/>
            <w:tcBorders>
              <w:top w:val="single" w:sz="4" w:space="0" w:color="auto"/>
              <w:left w:val="single" w:sz="4" w:space="0" w:color="auto"/>
              <w:bottom w:val="single" w:sz="4" w:space="0" w:color="auto"/>
              <w:right w:val="single" w:sz="4" w:space="0" w:color="auto"/>
            </w:tcBorders>
          </w:tcPr>
          <w:p w14:paraId="5FE764E4" w14:textId="77777777" w:rsidR="00C043CC" w:rsidRDefault="00C043CC" w:rsidP="00FD2A32">
            <w:pPr>
              <w:pStyle w:val="Geenafstand"/>
              <w:rPr>
                <w:lang w:eastAsia="en-US"/>
              </w:rPr>
            </w:pPr>
            <w:r>
              <w:rPr>
                <w:lang w:eastAsia="en-US"/>
              </w:rPr>
              <w:t>0,07</w:t>
            </w:r>
          </w:p>
        </w:tc>
        <w:tc>
          <w:tcPr>
            <w:tcW w:w="1148" w:type="dxa"/>
            <w:tcBorders>
              <w:top w:val="single" w:sz="4" w:space="0" w:color="auto"/>
              <w:left w:val="single" w:sz="4" w:space="0" w:color="auto"/>
              <w:bottom w:val="single" w:sz="4" w:space="0" w:color="auto"/>
              <w:right w:val="single" w:sz="4" w:space="0" w:color="auto"/>
            </w:tcBorders>
          </w:tcPr>
          <w:p w14:paraId="4B1676DD" w14:textId="77777777" w:rsidR="00C043CC" w:rsidRDefault="00C043CC" w:rsidP="00FD2A32">
            <w:pPr>
              <w:pStyle w:val="Geenafstand"/>
              <w:rPr>
                <w:lang w:eastAsia="en-US"/>
              </w:rPr>
            </w:pPr>
          </w:p>
        </w:tc>
        <w:tc>
          <w:tcPr>
            <w:tcW w:w="1032" w:type="dxa"/>
            <w:tcBorders>
              <w:top w:val="single" w:sz="4" w:space="0" w:color="auto"/>
              <w:left w:val="single" w:sz="4" w:space="0" w:color="auto"/>
              <w:bottom w:val="single" w:sz="4" w:space="0" w:color="auto"/>
              <w:right w:val="single" w:sz="4" w:space="0" w:color="auto"/>
            </w:tcBorders>
          </w:tcPr>
          <w:p w14:paraId="37DAD5AD" w14:textId="77777777" w:rsidR="00C043CC" w:rsidRDefault="00C043CC" w:rsidP="00FD2A32">
            <w:pPr>
              <w:pStyle w:val="Geenafstand"/>
              <w:rPr>
                <w:lang w:eastAsia="en-US"/>
              </w:rPr>
            </w:pPr>
          </w:p>
        </w:tc>
        <w:tc>
          <w:tcPr>
            <w:tcW w:w="941" w:type="dxa"/>
            <w:tcBorders>
              <w:top w:val="single" w:sz="4" w:space="0" w:color="auto"/>
              <w:left w:val="single" w:sz="4" w:space="0" w:color="auto"/>
              <w:bottom w:val="single" w:sz="4" w:space="0" w:color="auto"/>
              <w:right w:val="single" w:sz="4" w:space="0" w:color="auto"/>
            </w:tcBorders>
          </w:tcPr>
          <w:p w14:paraId="61441C12" w14:textId="77777777" w:rsidR="00C043CC" w:rsidRDefault="00C043CC" w:rsidP="00FD2A32">
            <w:pPr>
              <w:pStyle w:val="Geenafstand"/>
              <w:rPr>
                <w:lang w:eastAsia="en-US"/>
              </w:rPr>
            </w:pPr>
          </w:p>
        </w:tc>
      </w:tr>
      <w:tr w:rsidR="00C043CC" w14:paraId="77551772" w14:textId="77777777" w:rsidTr="00FD2A32">
        <w:tc>
          <w:tcPr>
            <w:tcW w:w="3859" w:type="dxa"/>
            <w:tcBorders>
              <w:top w:val="single" w:sz="4" w:space="0" w:color="auto"/>
              <w:left w:val="single" w:sz="4" w:space="0" w:color="auto"/>
              <w:bottom w:val="single" w:sz="4" w:space="0" w:color="auto"/>
              <w:right w:val="single" w:sz="4" w:space="0" w:color="auto"/>
            </w:tcBorders>
          </w:tcPr>
          <w:p w14:paraId="4D528902" w14:textId="77777777" w:rsidR="00C043CC" w:rsidRDefault="00C043CC" w:rsidP="00FD2A32">
            <w:pPr>
              <w:pStyle w:val="Geenafstand"/>
              <w:rPr>
                <w:lang w:eastAsia="en-US"/>
              </w:rPr>
            </w:pPr>
          </w:p>
        </w:tc>
        <w:tc>
          <w:tcPr>
            <w:tcW w:w="1046" w:type="dxa"/>
            <w:tcBorders>
              <w:top w:val="single" w:sz="4" w:space="0" w:color="auto"/>
              <w:left w:val="single" w:sz="4" w:space="0" w:color="auto"/>
              <w:bottom w:val="single" w:sz="4" w:space="0" w:color="auto"/>
              <w:right w:val="single" w:sz="4" w:space="0" w:color="auto"/>
            </w:tcBorders>
          </w:tcPr>
          <w:p w14:paraId="725EF29B" w14:textId="77777777" w:rsidR="00C043CC" w:rsidRDefault="00C043CC" w:rsidP="00FD2A32">
            <w:pPr>
              <w:pStyle w:val="Geenafstand"/>
              <w:jc w:val="right"/>
              <w:rPr>
                <w:lang w:eastAsia="en-US"/>
              </w:rPr>
            </w:pPr>
          </w:p>
        </w:tc>
        <w:tc>
          <w:tcPr>
            <w:tcW w:w="1036" w:type="dxa"/>
            <w:tcBorders>
              <w:top w:val="single" w:sz="4" w:space="0" w:color="auto"/>
              <w:left w:val="single" w:sz="4" w:space="0" w:color="auto"/>
              <w:bottom w:val="single" w:sz="4" w:space="0" w:color="auto"/>
              <w:right w:val="single" w:sz="4" w:space="0" w:color="auto"/>
            </w:tcBorders>
          </w:tcPr>
          <w:p w14:paraId="3F8E1F31" w14:textId="77777777" w:rsidR="00C043CC" w:rsidRDefault="00C043CC" w:rsidP="00FD2A32">
            <w:pPr>
              <w:pStyle w:val="Geenafstand"/>
              <w:rPr>
                <w:lang w:eastAsia="en-US"/>
              </w:rPr>
            </w:pPr>
          </w:p>
        </w:tc>
        <w:tc>
          <w:tcPr>
            <w:tcW w:w="1148" w:type="dxa"/>
            <w:tcBorders>
              <w:top w:val="single" w:sz="4" w:space="0" w:color="auto"/>
              <w:left w:val="single" w:sz="4" w:space="0" w:color="auto"/>
              <w:bottom w:val="single" w:sz="4" w:space="0" w:color="auto"/>
              <w:right w:val="single" w:sz="4" w:space="0" w:color="auto"/>
            </w:tcBorders>
          </w:tcPr>
          <w:p w14:paraId="4A4F7072" w14:textId="77777777" w:rsidR="00C043CC" w:rsidRDefault="00C043CC" w:rsidP="00FD2A32">
            <w:pPr>
              <w:pStyle w:val="Geenafstand"/>
              <w:rPr>
                <w:lang w:eastAsia="en-US"/>
              </w:rPr>
            </w:pPr>
          </w:p>
        </w:tc>
        <w:tc>
          <w:tcPr>
            <w:tcW w:w="1032" w:type="dxa"/>
            <w:tcBorders>
              <w:top w:val="single" w:sz="4" w:space="0" w:color="auto"/>
              <w:left w:val="single" w:sz="4" w:space="0" w:color="auto"/>
              <w:bottom w:val="single" w:sz="4" w:space="0" w:color="auto"/>
              <w:right w:val="single" w:sz="4" w:space="0" w:color="auto"/>
            </w:tcBorders>
          </w:tcPr>
          <w:p w14:paraId="6499907E" w14:textId="77777777" w:rsidR="00C043CC" w:rsidRDefault="00C043CC" w:rsidP="00FD2A32">
            <w:pPr>
              <w:pStyle w:val="Geenafstand"/>
              <w:rPr>
                <w:lang w:eastAsia="en-US"/>
              </w:rPr>
            </w:pPr>
          </w:p>
        </w:tc>
        <w:tc>
          <w:tcPr>
            <w:tcW w:w="941" w:type="dxa"/>
            <w:tcBorders>
              <w:top w:val="single" w:sz="4" w:space="0" w:color="auto"/>
              <w:left w:val="single" w:sz="4" w:space="0" w:color="auto"/>
              <w:bottom w:val="single" w:sz="4" w:space="0" w:color="auto"/>
              <w:right w:val="single" w:sz="4" w:space="0" w:color="auto"/>
            </w:tcBorders>
          </w:tcPr>
          <w:p w14:paraId="72490BC2" w14:textId="77777777" w:rsidR="00C043CC" w:rsidRDefault="00C043CC" w:rsidP="00FD2A32">
            <w:pPr>
              <w:pStyle w:val="Geenafstand"/>
              <w:rPr>
                <w:lang w:eastAsia="en-US"/>
              </w:rPr>
            </w:pPr>
          </w:p>
        </w:tc>
      </w:tr>
      <w:tr w:rsidR="00C043CC" w14:paraId="757C98A9" w14:textId="77777777" w:rsidTr="00FD2A32">
        <w:tc>
          <w:tcPr>
            <w:tcW w:w="3859" w:type="dxa"/>
            <w:tcBorders>
              <w:top w:val="single" w:sz="4" w:space="0" w:color="auto"/>
              <w:left w:val="single" w:sz="4" w:space="0" w:color="auto"/>
              <w:bottom w:val="single" w:sz="4" w:space="0" w:color="auto"/>
              <w:right w:val="single" w:sz="4" w:space="0" w:color="auto"/>
            </w:tcBorders>
            <w:hideMark/>
          </w:tcPr>
          <w:p w14:paraId="167167ED" w14:textId="77777777" w:rsidR="00C043CC" w:rsidRDefault="00C043CC" w:rsidP="00FD2A32">
            <w:pPr>
              <w:pStyle w:val="Geenafstand"/>
              <w:rPr>
                <w:b/>
                <w:lang w:eastAsia="en-US"/>
              </w:rPr>
            </w:pPr>
            <w:r>
              <w:rPr>
                <w:b/>
                <w:lang w:eastAsia="en-US"/>
              </w:rPr>
              <w:t>Totaal scope  2</w:t>
            </w:r>
          </w:p>
        </w:tc>
        <w:tc>
          <w:tcPr>
            <w:tcW w:w="1046" w:type="dxa"/>
            <w:tcBorders>
              <w:top w:val="single" w:sz="4" w:space="0" w:color="auto"/>
              <w:left w:val="single" w:sz="4" w:space="0" w:color="auto"/>
              <w:bottom w:val="single" w:sz="4" w:space="0" w:color="auto"/>
              <w:right w:val="single" w:sz="4" w:space="0" w:color="auto"/>
            </w:tcBorders>
            <w:hideMark/>
          </w:tcPr>
          <w:p w14:paraId="17ACBE26" w14:textId="77777777" w:rsidR="00C043CC" w:rsidRDefault="00C043CC" w:rsidP="00FD2A32">
            <w:pPr>
              <w:pStyle w:val="Geenafstand"/>
              <w:jc w:val="right"/>
              <w:rPr>
                <w:b/>
                <w:lang w:eastAsia="en-US"/>
              </w:rPr>
            </w:pPr>
            <w:r>
              <w:rPr>
                <w:b/>
                <w:lang w:eastAsia="en-US"/>
              </w:rPr>
              <w:t>0,05</w:t>
            </w:r>
          </w:p>
        </w:tc>
        <w:tc>
          <w:tcPr>
            <w:tcW w:w="1036" w:type="dxa"/>
            <w:tcBorders>
              <w:top w:val="single" w:sz="4" w:space="0" w:color="auto"/>
              <w:left w:val="single" w:sz="4" w:space="0" w:color="auto"/>
              <w:bottom w:val="single" w:sz="4" w:space="0" w:color="auto"/>
              <w:right w:val="single" w:sz="4" w:space="0" w:color="auto"/>
            </w:tcBorders>
          </w:tcPr>
          <w:p w14:paraId="5907837B" w14:textId="77777777" w:rsidR="00C043CC" w:rsidRDefault="00C043CC" w:rsidP="00FD2A32">
            <w:pPr>
              <w:pStyle w:val="Geenafstand"/>
              <w:rPr>
                <w:b/>
                <w:lang w:eastAsia="en-US"/>
              </w:rPr>
            </w:pPr>
            <w:r>
              <w:rPr>
                <w:b/>
                <w:lang w:eastAsia="en-US"/>
              </w:rPr>
              <w:t>0,07</w:t>
            </w:r>
          </w:p>
        </w:tc>
        <w:tc>
          <w:tcPr>
            <w:tcW w:w="1148" w:type="dxa"/>
            <w:tcBorders>
              <w:top w:val="single" w:sz="4" w:space="0" w:color="auto"/>
              <w:left w:val="single" w:sz="4" w:space="0" w:color="auto"/>
              <w:bottom w:val="single" w:sz="4" w:space="0" w:color="auto"/>
              <w:right w:val="single" w:sz="4" w:space="0" w:color="auto"/>
            </w:tcBorders>
          </w:tcPr>
          <w:p w14:paraId="104BF10F" w14:textId="77777777" w:rsidR="00C043CC" w:rsidRDefault="00C043CC" w:rsidP="00FD2A32">
            <w:pPr>
              <w:pStyle w:val="Geenafstand"/>
              <w:rPr>
                <w:b/>
                <w:lang w:eastAsia="en-US"/>
              </w:rPr>
            </w:pPr>
          </w:p>
        </w:tc>
        <w:tc>
          <w:tcPr>
            <w:tcW w:w="1032" w:type="dxa"/>
            <w:tcBorders>
              <w:top w:val="single" w:sz="4" w:space="0" w:color="auto"/>
              <w:left w:val="single" w:sz="4" w:space="0" w:color="auto"/>
              <w:bottom w:val="single" w:sz="4" w:space="0" w:color="auto"/>
              <w:right w:val="single" w:sz="4" w:space="0" w:color="auto"/>
            </w:tcBorders>
          </w:tcPr>
          <w:p w14:paraId="4C6B8B17" w14:textId="77777777" w:rsidR="00C043CC" w:rsidRDefault="00C043CC" w:rsidP="00FD2A32">
            <w:pPr>
              <w:pStyle w:val="Geenafstand"/>
              <w:rPr>
                <w:b/>
                <w:lang w:eastAsia="en-US"/>
              </w:rPr>
            </w:pPr>
          </w:p>
        </w:tc>
        <w:tc>
          <w:tcPr>
            <w:tcW w:w="941" w:type="dxa"/>
            <w:tcBorders>
              <w:top w:val="single" w:sz="4" w:space="0" w:color="auto"/>
              <w:left w:val="single" w:sz="4" w:space="0" w:color="auto"/>
              <w:bottom w:val="single" w:sz="4" w:space="0" w:color="auto"/>
              <w:right w:val="single" w:sz="4" w:space="0" w:color="auto"/>
            </w:tcBorders>
          </w:tcPr>
          <w:p w14:paraId="54C3C580" w14:textId="77777777" w:rsidR="00C043CC" w:rsidRDefault="00C043CC" w:rsidP="00FD2A32">
            <w:pPr>
              <w:pStyle w:val="Geenafstand"/>
              <w:rPr>
                <w:b/>
                <w:lang w:eastAsia="en-US"/>
              </w:rPr>
            </w:pPr>
          </w:p>
        </w:tc>
      </w:tr>
      <w:tr w:rsidR="00C043CC" w14:paraId="2FD3C924" w14:textId="77777777" w:rsidTr="00FD2A32">
        <w:tc>
          <w:tcPr>
            <w:tcW w:w="3859" w:type="dxa"/>
            <w:tcBorders>
              <w:top w:val="single" w:sz="4" w:space="0" w:color="auto"/>
              <w:left w:val="single" w:sz="4" w:space="0" w:color="auto"/>
              <w:bottom w:val="single" w:sz="4" w:space="0" w:color="auto"/>
              <w:right w:val="single" w:sz="4" w:space="0" w:color="auto"/>
            </w:tcBorders>
          </w:tcPr>
          <w:p w14:paraId="47F99171" w14:textId="77777777" w:rsidR="00C043CC" w:rsidRDefault="00C043CC" w:rsidP="00FD2A32">
            <w:pPr>
              <w:pStyle w:val="Geenafstand"/>
              <w:rPr>
                <w:b/>
                <w:lang w:eastAsia="en-US"/>
              </w:rPr>
            </w:pPr>
          </w:p>
        </w:tc>
        <w:tc>
          <w:tcPr>
            <w:tcW w:w="1046" w:type="dxa"/>
            <w:tcBorders>
              <w:top w:val="single" w:sz="4" w:space="0" w:color="auto"/>
              <w:left w:val="single" w:sz="4" w:space="0" w:color="auto"/>
              <w:bottom w:val="single" w:sz="4" w:space="0" w:color="auto"/>
              <w:right w:val="single" w:sz="4" w:space="0" w:color="auto"/>
            </w:tcBorders>
          </w:tcPr>
          <w:p w14:paraId="4C4D743E" w14:textId="77777777" w:rsidR="00C043CC" w:rsidRDefault="00C043CC" w:rsidP="00FD2A32">
            <w:pPr>
              <w:pStyle w:val="Geenafstand"/>
              <w:jc w:val="right"/>
              <w:rPr>
                <w:b/>
                <w:lang w:eastAsia="en-US"/>
              </w:rPr>
            </w:pPr>
          </w:p>
        </w:tc>
        <w:tc>
          <w:tcPr>
            <w:tcW w:w="1036" w:type="dxa"/>
            <w:tcBorders>
              <w:top w:val="single" w:sz="4" w:space="0" w:color="auto"/>
              <w:left w:val="single" w:sz="4" w:space="0" w:color="auto"/>
              <w:bottom w:val="single" w:sz="4" w:space="0" w:color="auto"/>
              <w:right w:val="single" w:sz="4" w:space="0" w:color="auto"/>
            </w:tcBorders>
          </w:tcPr>
          <w:p w14:paraId="52714058" w14:textId="77777777" w:rsidR="00C043CC" w:rsidRDefault="00C043CC" w:rsidP="00FD2A32">
            <w:pPr>
              <w:pStyle w:val="Geenafstand"/>
              <w:rPr>
                <w:b/>
                <w:lang w:eastAsia="en-US"/>
              </w:rPr>
            </w:pPr>
          </w:p>
        </w:tc>
        <w:tc>
          <w:tcPr>
            <w:tcW w:w="1148" w:type="dxa"/>
            <w:tcBorders>
              <w:top w:val="single" w:sz="4" w:space="0" w:color="auto"/>
              <w:left w:val="single" w:sz="4" w:space="0" w:color="auto"/>
              <w:bottom w:val="single" w:sz="4" w:space="0" w:color="auto"/>
              <w:right w:val="single" w:sz="4" w:space="0" w:color="auto"/>
            </w:tcBorders>
          </w:tcPr>
          <w:p w14:paraId="5DBE574B" w14:textId="77777777" w:rsidR="00C043CC" w:rsidRDefault="00C043CC" w:rsidP="00FD2A32">
            <w:pPr>
              <w:pStyle w:val="Geenafstand"/>
              <w:rPr>
                <w:b/>
                <w:lang w:eastAsia="en-US"/>
              </w:rPr>
            </w:pPr>
          </w:p>
        </w:tc>
        <w:tc>
          <w:tcPr>
            <w:tcW w:w="1032" w:type="dxa"/>
            <w:tcBorders>
              <w:top w:val="single" w:sz="4" w:space="0" w:color="auto"/>
              <w:left w:val="single" w:sz="4" w:space="0" w:color="auto"/>
              <w:bottom w:val="single" w:sz="4" w:space="0" w:color="auto"/>
              <w:right w:val="single" w:sz="4" w:space="0" w:color="auto"/>
            </w:tcBorders>
          </w:tcPr>
          <w:p w14:paraId="6A27C497" w14:textId="77777777" w:rsidR="00C043CC" w:rsidRDefault="00C043CC" w:rsidP="00FD2A32">
            <w:pPr>
              <w:pStyle w:val="Geenafstand"/>
              <w:rPr>
                <w:b/>
                <w:lang w:eastAsia="en-US"/>
              </w:rPr>
            </w:pPr>
          </w:p>
        </w:tc>
        <w:tc>
          <w:tcPr>
            <w:tcW w:w="941" w:type="dxa"/>
            <w:tcBorders>
              <w:top w:val="single" w:sz="4" w:space="0" w:color="auto"/>
              <w:left w:val="single" w:sz="4" w:space="0" w:color="auto"/>
              <w:bottom w:val="single" w:sz="4" w:space="0" w:color="auto"/>
              <w:right w:val="single" w:sz="4" w:space="0" w:color="auto"/>
            </w:tcBorders>
          </w:tcPr>
          <w:p w14:paraId="12ADC7B9" w14:textId="77777777" w:rsidR="00C043CC" w:rsidRDefault="00C043CC" w:rsidP="00FD2A32">
            <w:pPr>
              <w:pStyle w:val="Geenafstand"/>
              <w:rPr>
                <w:b/>
                <w:lang w:eastAsia="en-US"/>
              </w:rPr>
            </w:pPr>
          </w:p>
        </w:tc>
      </w:tr>
      <w:tr w:rsidR="00C043CC" w14:paraId="59035195" w14:textId="77777777" w:rsidTr="00FD2A32">
        <w:tc>
          <w:tcPr>
            <w:tcW w:w="3859" w:type="dxa"/>
            <w:tcBorders>
              <w:top w:val="single" w:sz="4" w:space="0" w:color="auto"/>
              <w:left w:val="single" w:sz="4" w:space="0" w:color="auto"/>
              <w:bottom w:val="single" w:sz="4" w:space="0" w:color="auto"/>
              <w:right w:val="single" w:sz="4" w:space="0" w:color="auto"/>
            </w:tcBorders>
            <w:shd w:val="clear" w:color="auto" w:fill="0B3B60"/>
            <w:hideMark/>
          </w:tcPr>
          <w:p w14:paraId="6AD8481C" w14:textId="77777777" w:rsidR="00C043CC" w:rsidRDefault="00C043CC" w:rsidP="00FD2A32">
            <w:pPr>
              <w:pStyle w:val="Geenafstand"/>
              <w:rPr>
                <w:b/>
                <w:color w:val="FFFFFF" w:themeColor="background1"/>
                <w:lang w:eastAsia="en-US"/>
              </w:rPr>
            </w:pPr>
            <w:r>
              <w:rPr>
                <w:b/>
                <w:color w:val="FFFFFF" w:themeColor="background1"/>
                <w:lang w:eastAsia="en-US"/>
              </w:rPr>
              <w:t>Scope 3</w:t>
            </w:r>
          </w:p>
        </w:tc>
        <w:tc>
          <w:tcPr>
            <w:tcW w:w="1046" w:type="dxa"/>
            <w:tcBorders>
              <w:top w:val="single" w:sz="4" w:space="0" w:color="auto"/>
              <w:left w:val="single" w:sz="4" w:space="0" w:color="auto"/>
              <w:bottom w:val="single" w:sz="4" w:space="0" w:color="auto"/>
              <w:right w:val="single" w:sz="4" w:space="0" w:color="auto"/>
            </w:tcBorders>
            <w:shd w:val="clear" w:color="auto" w:fill="0B3B60"/>
          </w:tcPr>
          <w:p w14:paraId="065358CE" w14:textId="77777777" w:rsidR="00C043CC" w:rsidRDefault="00C043CC" w:rsidP="00FD2A32">
            <w:pPr>
              <w:pStyle w:val="Geenafstand"/>
              <w:jc w:val="right"/>
              <w:rPr>
                <w:b/>
                <w:color w:val="FFFFFF" w:themeColor="background1"/>
                <w:lang w:eastAsia="en-US"/>
              </w:rPr>
            </w:pPr>
          </w:p>
        </w:tc>
        <w:tc>
          <w:tcPr>
            <w:tcW w:w="1036" w:type="dxa"/>
            <w:tcBorders>
              <w:top w:val="single" w:sz="4" w:space="0" w:color="auto"/>
              <w:left w:val="single" w:sz="4" w:space="0" w:color="auto"/>
              <w:bottom w:val="single" w:sz="4" w:space="0" w:color="auto"/>
              <w:right w:val="single" w:sz="4" w:space="0" w:color="auto"/>
            </w:tcBorders>
            <w:shd w:val="clear" w:color="auto" w:fill="0B3B60"/>
          </w:tcPr>
          <w:p w14:paraId="4682896A" w14:textId="77777777" w:rsidR="00C043CC" w:rsidRDefault="00C043CC" w:rsidP="00FD2A32">
            <w:pPr>
              <w:pStyle w:val="Geenafstand"/>
              <w:rPr>
                <w:b/>
                <w:color w:val="FFFFFF" w:themeColor="background1"/>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0B3B60"/>
          </w:tcPr>
          <w:p w14:paraId="18DE724A" w14:textId="77777777" w:rsidR="00C043CC" w:rsidRDefault="00C043CC" w:rsidP="00FD2A32">
            <w:pPr>
              <w:pStyle w:val="Geenafstand"/>
              <w:rPr>
                <w:b/>
                <w:color w:val="FFFFFF" w:themeColor="background1"/>
                <w:lang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0B3B60"/>
          </w:tcPr>
          <w:p w14:paraId="28D33F00" w14:textId="77777777" w:rsidR="00C043CC" w:rsidRDefault="00C043CC" w:rsidP="00FD2A32">
            <w:pPr>
              <w:pStyle w:val="Geenafstand"/>
              <w:rPr>
                <w:b/>
                <w:color w:val="FFFFFF" w:themeColor="background1"/>
                <w:lang w:eastAsia="en-US"/>
              </w:rPr>
            </w:pPr>
          </w:p>
        </w:tc>
        <w:tc>
          <w:tcPr>
            <w:tcW w:w="941" w:type="dxa"/>
            <w:tcBorders>
              <w:top w:val="single" w:sz="4" w:space="0" w:color="auto"/>
              <w:left w:val="single" w:sz="4" w:space="0" w:color="auto"/>
              <w:bottom w:val="single" w:sz="4" w:space="0" w:color="auto"/>
              <w:right w:val="single" w:sz="4" w:space="0" w:color="auto"/>
            </w:tcBorders>
            <w:shd w:val="clear" w:color="auto" w:fill="0B3B60"/>
          </w:tcPr>
          <w:p w14:paraId="4B24ACBB" w14:textId="77777777" w:rsidR="00C043CC" w:rsidRDefault="00C043CC" w:rsidP="00FD2A32">
            <w:pPr>
              <w:pStyle w:val="Geenafstand"/>
              <w:rPr>
                <w:b/>
                <w:color w:val="FFFFFF" w:themeColor="background1"/>
                <w:lang w:eastAsia="en-US"/>
              </w:rPr>
            </w:pPr>
          </w:p>
        </w:tc>
      </w:tr>
      <w:tr w:rsidR="00C043CC" w14:paraId="732218AD" w14:textId="77777777" w:rsidTr="00FD2A32">
        <w:tc>
          <w:tcPr>
            <w:tcW w:w="3859" w:type="dxa"/>
            <w:tcBorders>
              <w:top w:val="single" w:sz="4" w:space="0" w:color="auto"/>
              <w:left w:val="single" w:sz="4" w:space="0" w:color="auto"/>
              <w:bottom w:val="single" w:sz="4" w:space="0" w:color="auto"/>
              <w:right w:val="single" w:sz="4" w:space="0" w:color="auto"/>
            </w:tcBorders>
            <w:hideMark/>
          </w:tcPr>
          <w:p w14:paraId="6F5D9E30" w14:textId="77777777" w:rsidR="00C043CC" w:rsidRDefault="00C043CC" w:rsidP="00FD2A32">
            <w:pPr>
              <w:pStyle w:val="Geenafstand"/>
              <w:rPr>
                <w:lang w:eastAsia="en-US"/>
              </w:rPr>
            </w:pPr>
            <w:r>
              <w:rPr>
                <w:lang w:eastAsia="en-US"/>
              </w:rPr>
              <w:t xml:space="preserve">Business travel </w:t>
            </w:r>
          </w:p>
        </w:tc>
        <w:tc>
          <w:tcPr>
            <w:tcW w:w="1046" w:type="dxa"/>
            <w:tcBorders>
              <w:top w:val="single" w:sz="4" w:space="0" w:color="auto"/>
              <w:left w:val="single" w:sz="4" w:space="0" w:color="auto"/>
              <w:bottom w:val="single" w:sz="4" w:space="0" w:color="auto"/>
              <w:right w:val="single" w:sz="4" w:space="0" w:color="auto"/>
            </w:tcBorders>
            <w:hideMark/>
          </w:tcPr>
          <w:p w14:paraId="758A8834" w14:textId="77777777" w:rsidR="00C043CC" w:rsidRDefault="00C043CC" w:rsidP="00FD2A32">
            <w:pPr>
              <w:pStyle w:val="Geenafstand"/>
              <w:jc w:val="right"/>
              <w:rPr>
                <w:lang w:eastAsia="en-US"/>
              </w:rPr>
            </w:pPr>
            <w:r>
              <w:rPr>
                <w:lang w:eastAsia="en-US"/>
              </w:rPr>
              <w:t>0</w:t>
            </w:r>
          </w:p>
        </w:tc>
        <w:tc>
          <w:tcPr>
            <w:tcW w:w="1036" w:type="dxa"/>
            <w:tcBorders>
              <w:top w:val="single" w:sz="4" w:space="0" w:color="auto"/>
              <w:left w:val="single" w:sz="4" w:space="0" w:color="auto"/>
              <w:bottom w:val="single" w:sz="4" w:space="0" w:color="auto"/>
              <w:right w:val="single" w:sz="4" w:space="0" w:color="auto"/>
            </w:tcBorders>
          </w:tcPr>
          <w:p w14:paraId="5E981AF7" w14:textId="77777777" w:rsidR="00C043CC" w:rsidRDefault="00C043CC" w:rsidP="00FD2A32">
            <w:pPr>
              <w:pStyle w:val="Geenafstand"/>
              <w:rPr>
                <w:lang w:eastAsia="en-US"/>
              </w:rPr>
            </w:pPr>
            <w:r>
              <w:rPr>
                <w:lang w:eastAsia="en-US"/>
              </w:rPr>
              <w:t>0</w:t>
            </w:r>
          </w:p>
        </w:tc>
        <w:tc>
          <w:tcPr>
            <w:tcW w:w="1148" w:type="dxa"/>
            <w:tcBorders>
              <w:top w:val="single" w:sz="4" w:space="0" w:color="auto"/>
              <w:left w:val="single" w:sz="4" w:space="0" w:color="auto"/>
              <w:bottom w:val="single" w:sz="4" w:space="0" w:color="auto"/>
              <w:right w:val="single" w:sz="4" w:space="0" w:color="auto"/>
            </w:tcBorders>
          </w:tcPr>
          <w:p w14:paraId="0C4F5B1D" w14:textId="77777777" w:rsidR="00C043CC" w:rsidRDefault="00C043CC" w:rsidP="00FD2A32">
            <w:pPr>
              <w:pStyle w:val="Geenafstand"/>
              <w:rPr>
                <w:lang w:eastAsia="en-US"/>
              </w:rPr>
            </w:pPr>
          </w:p>
        </w:tc>
        <w:tc>
          <w:tcPr>
            <w:tcW w:w="1032" w:type="dxa"/>
            <w:tcBorders>
              <w:top w:val="single" w:sz="4" w:space="0" w:color="auto"/>
              <w:left w:val="single" w:sz="4" w:space="0" w:color="auto"/>
              <w:bottom w:val="single" w:sz="4" w:space="0" w:color="auto"/>
              <w:right w:val="single" w:sz="4" w:space="0" w:color="auto"/>
            </w:tcBorders>
          </w:tcPr>
          <w:p w14:paraId="5B6711CB" w14:textId="77777777" w:rsidR="00C043CC" w:rsidRDefault="00C043CC" w:rsidP="00FD2A32">
            <w:pPr>
              <w:pStyle w:val="Geenafstand"/>
              <w:rPr>
                <w:lang w:eastAsia="en-US"/>
              </w:rPr>
            </w:pPr>
          </w:p>
        </w:tc>
        <w:tc>
          <w:tcPr>
            <w:tcW w:w="941" w:type="dxa"/>
            <w:tcBorders>
              <w:top w:val="single" w:sz="4" w:space="0" w:color="auto"/>
              <w:left w:val="single" w:sz="4" w:space="0" w:color="auto"/>
              <w:bottom w:val="single" w:sz="4" w:space="0" w:color="auto"/>
              <w:right w:val="single" w:sz="4" w:space="0" w:color="auto"/>
            </w:tcBorders>
          </w:tcPr>
          <w:p w14:paraId="1C2283AC" w14:textId="77777777" w:rsidR="00C043CC" w:rsidRDefault="00C043CC" w:rsidP="00FD2A32">
            <w:pPr>
              <w:pStyle w:val="Geenafstand"/>
              <w:rPr>
                <w:lang w:eastAsia="en-US"/>
              </w:rPr>
            </w:pPr>
          </w:p>
        </w:tc>
      </w:tr>
      <w:tr w:rsidR="00C043CC" w14:paraId="324D28F1" w14:textId="77777777" w:rsidTr="00FD2A32">
        <w:tc>
          <w:tcPr>
            <w:tcW w:w="3859" w:type="dxa"/>
            <w:tcBorders>
              <w:top w:val="single" w:sz="4" w:space="0" w:color="auto"/>
              <w:left w:val="single" w:sz="4" w:space="0" w:color="auto"/>
              <w:bottom w:val="single" w:sz="4" w:space="0" w:color="auto"/>
              <w:right w:val="single" w:sz="4" w:space="0" w:color="auto"/>
            </w:tcBorders>
          </w:tcPr>
          <w:p w14:paraId="7E1991B7" w14:textId="77777777" w:rsidR="00C043CC" w:rsidRDefault="00C043CC" w:rsidP="00FD2A32">
            <w:pPr>
              <w:pStyle w:val="Geenafstand"/>
              <w:rPr>
                <w:b/>
                <w:lang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35F816D6" w14:textId="77777777" w:rsidR="00C043CC" w:rsidRDefault="00C043CC" w:rsidP="00FD2A32">
            <w:pPr>
              <w:pStyle w:val="Geenafstand"/>
              <w:jc w:val="right"/>
              <w:rPr>
                <w:lang w:eastAsia="en-US"/>
              </w:rPr>
            </w:pPr>
          </w:p>
        </w:tc>
        <w:tc>
          <w:tcPr>
            <w:tcW w:w="1036" w:type="dxa"/>
            <w:tcBorders>
              <w:top w:val="single" w:sz="4" w:space="0" w:color="auto"/>
              <w:left w:val="single" w:sz="4" w:space="0" w:color="auto"/>
              <w:bottom w:val="single" w:sz="4" w:space="0" w:color="auto"/>
              <w:right w:val="single" w:sz="4" w:space="0" w:color="auto"/>
            </w:tcBorders>
          </w:tcPr>
          <w:p w14:paraId="0990E53D" w14:textId="77777777" w:rsidR="00C043CC" w:rsidRDefault="00C043CC" w:rsidP="00FD2A32">
            <w:pPr>
              <w:pStyle w:val="Geenafstand"/>
              <w:rPr>
                <w:lang w:eastAsia="en-US"/>
              </w:rPr>
            </w:pPr>
          </w:p>
        </w:tc>
        <w:tc>
          <w:tcPr>
            <w:tcW w:w="1148" w:type="dxa"/>
            <w:tcBorders>
              <w:top w:val="single" w:sz="4" w:space="0" w:color="auto"/>
              <w:left w:val="single" w:sz="4" w:space="0" w:color="auto"/>
              <w:bottom w:val="single" w:sz="4" w:space="0" w:color="auto"/>
              <w:right w:val="single" w:sz="4" w:space="0" w:color="auto"/>
            </w:tcBorders>
          </w:tcPr>
          <w:p w14:paraId="16B7124E" w14:textId="77777777" w:rsidR="00C043CC" w:rsidRDefault="00C043CC" w:rsidP="00FD2A32">
            <w:pPr>
              <w:pStyle w:val="Geenafstand"/>
              <w:rPr>
                <w:lang w:eastAsia="en-US"/>
              </w:rPr>
            </w:pPr>
          </w:p>
        </w:tc>
        <w:tc>
          <w:tcPr>
            <w:tcW w:w="1032" w:type="dxa"/>
            <w:tcBorders>
              <w:top w:val="single" w:sz="4" w:space="0" w:color="auto"/>
              <w:left w:val="single" w:sz="4" w:space="0" w:color="auto"/>
              <w:bottom w:val="single" w:sz="4" w:space="0" w:color="auto"/>
              <w:right w:val="single" w:sz="4" w:space="0" w:color="auto"/>
            </w:tcBorders>
          </w:tcPr>
          <w:p w14:paraId="0845F635" w14:textId="77777777" w:rsidR="00C043CC" w:rsidRDefault="00C043CC" w:rsidP="00FD2A32">
            <w:pPr>
              <w:pStyle w:val="Geenafstand"/>
              <w:rPr>
                <w:lang w:eastAsia="en-US"/>
              </w:rPr>
            </w:pPr>
          </w:p>
        </w:tc>
        <w:tc>
          <w:tcPr>
            <w:tcW w:w="941" w:type="dxa"/>
            <w:tcBorders>
              <w:top w:val="single" w:sz="4" w:space="0" w:color="auto"/>
              <w:left w:val="single" w:sz="4" w:space="0" w:color="auto"/>
              <w:bottom w:val="single" w:sz="4" w:space="0" w:color="auto"/>
              <w:right w:val="single" w:sz="4" w:space="0" w:color="auto"/>
            </w:tcBorders>
          </w:tcPr>
          <w:p w14:paraId="7F0307BF" w14:textId="77777777" w:rsidR="00C043CC" w:rsidRDefault="00C043CC" w:rsidP="00FD2A32">
            <w:pPr>
              <w:pStyle w:val="Geenafstand"/>
              <w:rPr>
                <w:lang w:eastAsia="en-US"/>
              </w:rPr>
            </w:pPr>
          </w:p>
        </w:tc>
      </w:tr>
      <w:tr w:rsidR="00C043CC" w14:paraId="2934DC4B" w14:textId="77777777" w:rsidTr="00FD2A32">
        <w:tc>
          <w:tcPr>
            <w:tcW w:w="3859" w:type="dxa"/>
            <w:tcBorders>
              <w:top w:val="single" w:sz="4" w:space="0" w:color="auto"/>
              <w:left w:val="single" w:sz="4" w:space="0" w:color="auto"/>
              <w:bottom w:val="single" w:sz="4" w:space="0" w:color="auto"/>
              <w:right w:val="single" w:sz="4" w:space="0" w:color="auto"/>
            </w:tcBorders>
            <w:hideMark/>
          </w:tcPr>
          <w:p w14:paraId="55287772" w14:textId="77777777" w:rsidR="00C043CC" w:rsidRDefault="00C043CC" w:rsidP="00FD2A32">
            <w:pPr>
              <w:pStyle w:val="Geenafstand"/>
              <w:rPr>
                <w:b/>
                <w:lang w:eastAsia="en-US"/>
              </w:rPr>
            </w:pPr>
            <w:r>
              <w:rPr>
                <w:b/>
                <w:lang w:eastAsia="en-US"/>
              </w:rPr>
              <w:t>Totaal scope 1, 2 &amp; 3</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0C7B3EB6" w14:textId="77777777" w:rsidR="00C043CC" w:rsidRDefault="00C043CC" w:rsidP="00FD2A32">
            <w:pPr>
              <w:pStyle w:val="Geenafstand"/>
              <w:jc w:val="right"/>
              <w:rPr>
                <w:b/>
                <w:lang w:eastAsia="en-US"/>
              </w:rPr>
            </w:pPr>
            <w:r>
              <w:rPr>
                <w:b/>
                <w:lang w:eastAsia="en-US"/>
              </w:rPr>
              <w:t>71,9</w:t>
            </w:r>
          </w:p>
        </w:tc>
        <w:tc>
          <w:tcPr>
            <w:tcW w:w="1036" w:type="dxa"/>
            <w:tcBorders>
              <w:top w:val="single" w:sz="4" w:space="0" w:color="auto"/>
              <w:left w:val="single" w:sz="4" w:space="0" w:color="auto"/>
              <w:bottom w:val="single" w:sz="4" w:space="0" w:color="auto"/>
              <w:right w:val="single" w:sz="4" w:space="0" w:color="auto"/>
            </w:tcBorders>
          </w:tcPr>
          <w:p w14:paraId="6F218DFA" w14:textId="77777777" w:rsidR="00C043CC" w:rsidRDefault="00C043CC" w:rsidP="00FD2A32">
            <w:pPr>
              <w:pStyle w:val="Geenafstand"/>
              <w:rPr>
                <w:b/>
                <w:lang w:eastAsia="en-US"/>
              </w:rPr>
            </w:pPr>
            <w:r>
              <w:rPr>
                <w:b/>
                <w:lang w:eastAsia="en-US"/>
              </w:rPr>
              <w:t>62,8</w:t>
            </w:r>
          </w:p>
        </w:tc>
        <w:tc>
          <w:tcPr>
            <w:tcW w:w="1148" w:type="dxa"/>
            <w:tcBorders>
              <w:top w:val="single" w:sz="4" w:space="0" w:color="auto"/>
              <w:left w:val="single" w:sz="4" w:space="0" w:color="auto"/>
              <w:bottom w:val="single" w:sz="4" w:space="0" w:color="auto"/>
              <w:right w:val="single" w:sz="4" w:space="0" w:color="auto"/>
            </w:tcBorders>
          </w:tcPr>
          <w:p w14:paraId="7550A30F" w14:textId="77777777" w:rsidR="00C043CC" w:rsidRDefault="00C043CC" w:rsidP="00FD2A32">
            <w:pPr>
              <w:pStyle w:val="Geenafstand"/>
              <w:rPr>
                <w:b/>
                <w:lang w:eastAsia="en-US"/>
              </w:rPr>
            </w:pPr>
          </w:p>
        </w:tc>
        <w:tc>
          <w:tcPr>
            <w:tcW w:w="1032" w:type="dxa"/>
            <w:tcBorders>
              <w:top w:val="single" w:sz="4" w:space="0" w:color="auto"/>
              <w:left w:val="single" w:sz="4" w:space="0" w:color="auto"/>
              <w:bottom w:val="single" w:sz="4" w:space="0" w:color="auto"/>
              <w:right w:val="single" w:sz="4" w:space="0" w:color="auto"/>
            </w:tcBorders>
          </w:tcPr>
          <w:p w14:paraId="318C5E60" w14:textId="77777777" w:rsidR="00C043CC" w:rsidRDefault="00C043CC" w:rsidP="00FD2A32">
            <w:pPr>
              <w:pStyle w:val="Geenafstand"/>
              <w:rPr>
                <w:b/>
                <w:lang w:eastAsia="en-US"/>
              </w:rPr>
            </w:pPr>
          </w:p>
        </w:tc>
        <w:tc>
          <w:tcPr>
            <w:tcW w:w="941" w:type="dxa"/>
            <w:tcBorders>
              <w:top w:val="single" w:sz="4" w:space="0" w:color="auto"/>
              <w:left w:val="single" w:sz="4" w:space="0" w:color="auto"/>
              <w:bottom w:val="single" w:sz="4" w:space="0" w:color="auto"/>
              <w:right w:val="single" w:sz="4" w:space="0" w:color="auto"/>
            </w:tcBorders>
          </w:tcPr>
          <w:p w14:paraId="710D6050" w14:textId="77777777" w:rsidR="00C043CC" w:rsidRDefault="00C043CC" w:rsidP="00FD2A32">
            <w:pPr>
              <w:pStyle w:val="Geenafstand"/>
              <w:rPr>
                <w:b/>
                <w:lang w:eastAsia="en-US"/>
              </w:rPr>
            </w:pPr>
          </w:p>
        </w:tc>
      </w:tr>
      <w:tr w:rsidR="00C043CC" w14:paraId="452DB708" w14:textId="77777777" w:rsidTr="00FD2A32">
        <w:tc>
          <w:tcPr>
            <w:tcW w:w="3859" w:type="dxa"/>
            <w:tcBorders>
              <w:top w:val="single" w:sz="4" w:space="0" w:color="auto"/>
              <w:left w:val="single" w:sz="4" w:space="0" w:color="auto"/>
              <w:bottom w:val="single" w:sz="4" w:space="0" w:color="auto"/>
              <w:right w:val="single" w:sz="4" w:space="0" w:color="auto"/>
            </w:tcBorders>
          </w:tcPr>
          <w:p w14:paraId="6BF3ED34" w14:textId="77777777" w:rsidR="00C043CC" w:rsidRDefault="00C043CC" w:rsidP="00FD2A32">
            <w:pPr>
              <w:pStyle w:val="Geenafstand"/>
              <w:rPr>
                <w:lang w:eastAsia="en-US"/>
              </w:rPr>
            </w:pPr>
          </w:p>
        </w:tc>
        <w:tc>
          <w:tcPr>
            <w:tcW w:w="1046" w:type="dxa"/>
            <w:tcBorders>
              <w:top w:val="single" w:sz="4" w:space="0" w:color="auto"/>
              <w:left w:val="single" w:sz="4" w:space="0" w:color="auto"/>
              <w:bottom w:val="single" w:sz="4" w:space="0" w:color="auto"/>
              <w:right w:val="single" w:sz="4" w:space="0" w:color="auto"/>
            </w:tcBorders>
          </w:tcPr>
          <w:p w14:paraId="07DFDA6E" w14:textId="77777777" w:rsidR="00C043CC" w:rsidRDefault="00C043CC" w:rsidP="00FD2A32">
            <w:pPr>
              <w:pStyle w:val="Geenafstand"/>
              <w:jc w:val="right"/>
              <w:rPr>
                <w:lang w:eastAsia="en-US"/>
              </w:rPr>
            </w:pPr>
          </w:p>
        </w:tc>
        <w:tc>
          <w:tcPr>
            <w:tcW w:w="1036" w:type="dxa"/>
            <w:tcBorders>
              <w:top w:val="single" w:sz="4" w:space="0" w:color="auto"/>
              <w:left w:val="single" w:sz="4" w:space="0" w:color="auto"/>
              <w:bottom w:val="single" w:sz="4" w:space="0" w:color="auto"/>
              <w:right w:val="single" w:sz="4" w:space="0" w:color="auto"/>
            </w:tcBorders>
          </w:tcPr>
          <w:p w14:paraId="31CB6F3A" w14:textId="77777777" w:rsidR="00C043CC" w:rsidRDefault="00C043CC" w:rsidP="00FD2A32">
            <w:pPr>
              <w:pStyle w:val="Geenafstand"/>
              <w:rPr>
                <w:lang w:eastAsia="en-US"/>
              </w:rPr>
            </w:pPr>
          </w:p>
        </w:tc>
        <w:tc>
          <w:tcPr>
            <w:tcW w:w="1148" w:type="dxa"/>
            <w:tcBorders>
              <w:top w:val="single" w:sz="4" w:space="0" w:color="auto"/>
              <w:left w:val="single" w:sz="4" w:space="0" w:color="auto"/>
              <w:bottom w:val="single" w:sz="4" w:space="0" w:color="auto"/>
              <w:right w:val="single" w:sz="4" w:space="0" w:color="auto"/>
            </w:tcBorders>
          </w:tcPr>
          <w:p w14:paraId="6476BF90" w14:textId="77777777" w:rsidR="00C043CC" w:rsidRDefault="00C043CC" w:rsidP="00FD2A32">
            <w:pPr>
              <w:pStyle w:val="Geenafstand"/>
              <w:rPr>
                <w:lang w:eastAsia="en-US"/>
              </w:rPr>
            </w:pPr>
          </w:p>
        </w:tc>
        <w:tc>
          <w:tcPr>
            <w:tcW w:w="1032" w:type="dxa"/>
            <w:tcBorders>
              <w:top w:val="single" w:sz="4" w:space="0" w:color="auto"/>
              <w:left w:val="single" w:sz="4" w:space="0" w:color="auto"/>
              <w:bottom w:val="single" w:sz="4" w:space="0" w:color="auto"/>
              <w:right w:val="single" w:sz="4" w:space="0" w:color="auto"/>
            </w:tcBorders>
          </w:tcPr>
          <w:p w14:paraId="3A9FD9B2" w14:textId="77777777" w:rsidR="00C043CC" w:rsidRDefault="00C043CC" w:rsidP="00FD2A32">
            <w:pPr>
              <w:pStyle w:val="Geenafstand"/>
              <w:rPr>
                <w:lang w:eastAsia="en-US"/>
              </w:rPr>
            </w:pPr>
          </w:p>
        </w:tc>
        <w:tc>
          <w:tcPr>
            <w:tcW w:w="941" w:type="dxa"/>
            <w:tcBorders>
              <w:top w:val="single" w:sz="4" w:space="0" w:color="auto"/>
              <w:left w:val="single" w:sz="4" w:space="0" w:color="auto"/>
              <w:bottom w:val="single" w:sz="4" w:space="0" w:color="auto"/>
              <w:right w:val="single" w:sz="4" w:space="0" w:color="auto"/>
            </w:tcBorders>
          </w:tcPr>
          <w:p w14:paraId="216F4819" w14:textId="77777777" w:rsidR="00C043CC" w:rsidRDefault="00C043CC" w:rsidP="00FD2A32">
            <w:pPr>
              <w:pStyle w:val="Geenafstand"/>
              <w:rPr>
                <w:lang w:eastAsia="en-US"/>
              </w:rPr>
            </w:pPr>
          </w:p>
        </w:tc>
      </w:tr>
    </w:tbl>
    <w:p w14:paraId="05D3807B" w14:textId="77777777" w:rsidR="00C043CC" w:rsidRDefault="00C043CC" w:rsidP="00C043CC">
      <w:pPr>
        <w:pStyle w:val="Geenafstand"/>
      </w:pPr>
    </w:p>
    <w:tbl>
      <w:tblP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0"/>
        <w:gridCol w:w="1660"/>
        <w:gridCol w:w="1660"/>
        <w:gridCol w:w="1140"/>
      </w:tblGrid>
      <w:tr w:rsidR="00C043CC" w:rsidRPr="007534DA" w14:paraId="6DF38AE7" w14:textId="77777777" w:rsidTr="00FD2A32">
        <w:trPr>
          <w:trHeight w:val="260"/>
        </w:trPr>
        <w:tc>
          <w:tcPr>
            <w:tcW w:w="3800" w:type="dxa"/>
            <w:shd w:val="clear" w:color="auto" w:fill="auto"/>
            <w:noWrap/>
            <w:vAlign w:val="bottom"/>
            <w:hideMark/>
          </w:tcPr>
          <w:p w14:paraId="1DF4A89B" w14:textId="77777777" w:rsidR="00C043CC" w:rsidRPr="007534DA" w:rsidRDefault="00C043CC" w:rsidP="00FD2A32">
            <w:pPr>
              <w:spacing w:after="0" w:line="240" w:lineRule="auto"/>
              <w:rPr>
                <w:rFonts w:ascii="Arial" w:eastAsia="Times New Roman" w:hAnsi="Arial" w:cs="Arial"/>
                <w:b/>
                <w:bCs/>
                <w:sz w:val="20"/>
                <w:szCs w:val="20"/>
                <w:lang w:eastAsia="nl-NL"/>
              </w:rPr>
            </w:pPr>
            <w:r w:rsidRPr="007534DA">
              <w:rPr>
                <w:rFonts w:ascii="Arial" w:eastAsia="Times New Roman" w:hAnsi="Arial" w:cs="Arial"/>
                <w:b/>
                <w:bCs/>
                <w:sz w:val="20"/>
                <w:szCs w:val="20"/>
                <w:lang w:eastAsia="nl-NL"/>
              </w:rPr>
              <w:t>Emissie CO2 per 100.000 euro omzet</w:t>
            </w:r>
          </w:p>
        </w:tc>
        <w:tc>
          <w:tcPr>
            <w:tcW w:w="1660" w:type="dxa"/>
            <w:shd w:val="clear" w:color="auto" w:fill="auto"/>
            <w:noWrap/>
            <w:vAlign w:val="bottom"/>
            <w:hideMark/>
          </w:tcPr>
          <w:p w14:paraId="4DF50572" w14:textId="77777777" w:rsidR="00C043CC" w:rsidRPr="007534DA" w:rsidRDefault="00C043CC" w:rsidP="00FD2A32">
            <w:pPr>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t>2021</w:t>
            </w:r>
          </w:p>
        </w:tc>
        <w:tc>
          <w:tcPr>
            <w:tcW w:w="1660" w:type="dxa"/>
            <w:shd w:val="clear" w:color="auto" w:fill="auto"/>
            <w:noWrap/>
            <w:vAlign w:val="bottom"/>
            <w:hideMark/>
          </w:tcPr>
          <w:p w14:paraId="4BDEB6A9" w14:textId="77777777" w:rsidR="00C043CC" w:rsidRPr="007534DA" w:rsidRDefault="00C043CC" w:rsidP="00FD2A32">
            <w:pPr>
              <w:spacing w:after="0" w:line="240" w:lineRule="auto"/>
              <w:rPr>
                <w:rFonts w:ascii="Arial" w:eastAsia="Times New Roman" w:hAnsi="Arial" w:cs="Arial"/>
                <w:b/>
                <w:bCs/>
                <w:sz w:val="20"/>
                <w:szCs w:val="20"/>
                <w:lang w:eastAsia="nl-NL"/>
              </w:rPr>
            </w:pPr>
            <w:r w:rsidRPr="007534DA">
              <w:rPr>
                <w:rFonts w:ascii="Arial" w:eastAsia="Times New Roman" w:hAnsi="Arial" w:cs="Arial"/>
                <w:b/>
                <w:bCs/>
                <w:sz w:val="20"/>
                <w:szCs w:val="20"/>
                <w:lang w:eastAsia="nl-NL"/>
              </w:rPr>
              <w:t>2022</w:t>
            </w:r>
          </w:p>
        </w:tc>
        <w:tc>
          <w:tcPr>
            <w:tcW w:w="1080" w:type="dxa"/>
            <w:shd w:val="clear" w:color="auto" w:fill="auto"/>
            <w:noWrap/>
            <w:vAlign w:val="bottom"/>
            <w:hideMark/>
          </w:tcPr>
          <w:p w14:paraId="3A125FD7" w14:textId="77777777" w:rsidR="00C043CC" w:rsidRPr="007534DA" w:rsidRDefault="00C043CC" w:rsidP="00FD2A32">
            <w:pPr>
              <w:spacing w:after="0" w:line="240" w:lineRule="auto"/>
              <w:rPr>
                <w:rFonts w:ascii="Arial" w:eastAsia="Times New Roman" w:hAnsi="Arial" w:cs="Arial"/>
                <w:b/>
                <w:bCs/>
                <w:sz w:val="20"/>
                <w:szCs w:val="20"/>
                <w:lang w:eastAsia="nl-NL"/>
              </w:rPr>
            </w:pPr>
            <w:r w:rsidRPr="007534DA">
              <w:rPr>
                <w:rFonts w:ascii="Arial" w:eastAsia="Times New Roman" w:hAnsi="Arial" w:cs="Arial"/>
                <w:b/>
                <w:bCs/>
                <w:sz w:val="20"/>
                <w:szCs w:val="20"/>
                <w:lang w:eastAsia="nl-NL"/>
              </w:rPr>
              <w:t>Voortgang</w:t>
            </w:r>
          </w:p>
        </w:tc>
      </w:tr>
      <w:tr w:rsidR="00C043CC" w:rsidRPr="007534DA" w14:paraId="52338B94" w14:textId="77777777" w:rsidTr="00FD2A32">
        <w:trPr>
          <w:trHeight w:val="250"/>
        </w:trPr>
        <w:tc>
          <w:tcPr>
            <w:tcW w:w="3800" w:type="dxa"/>
            <w:shd w:val="clear" w:color="auto" w:fill="auto"/>
            <w:noWrap/>
            <w:vAlign w:val="bottom"/>
            <w:hideMark/>
          </w:tcPr>
          <w:p w14:paraId="3324AAEB" w14:textId="77777777" w:rsidR="00C043CC" w:rsidRPr="007534DA" w:rsidRDefault="00C043CC" w:rsidP="00FD2A32">
            <w:pPr>
              <w:spacing w:after="0" w:line="240" w:lineRule="auto"/>
              <w:rPr>
                <w:rFonts w:ascii="Arial" w:eastAsia="Times New Roman" w:hAnsi="Arial" w:cs="Arial"/>
                <w:sz w:val="20"/>
                <w:szCs w:val="20"/>
                <w:lang w:eastAsia="nl-NL"/>
              </w:rPr>
            </w:pPr>
            <w:r w:rsidRPr="007534DA">
              <w:rPr>
                <w:rFonts w:ascii="Arial" w:eastAsia="Times New Roman" w:hAnsi="Arial" w:cs="Arial"/>
                <w:sz w:val="20"/>
                <w:szCs w:val="20"/>
                <w:lang w:eastAsia="nl-NL"/>
              </w:rPr>
              <w:t>Scope 1</w:t>
            </w:r>
          </w:p>
        </w:tc>
        <w:tc>
          <w:tcPr>
            <w:tcW w:w="1660" w:type="dxa"/>
            <w:shd w:val="clear" w:color="auto" w:fill="auto"/>
            <w:noWrap/>
            <w:vAlign w:val="bottom"/>
            <w:hideMark/>
          </w:tcPr>
          <w:p w14:paraId="20BDBB89" w14:textId="77777777" w:rsidR="00C043CC" w:rsidRPr="007534DA" w:rsidRDefault="00C043CC" w:rsidP="00FD2A32">
            <w:pPr>
              <w:spacing w:after="0" w:line="240" w:lineRule="auto"/>
              <w:jc w:val="right"/>
              <w:rPr>
                <w:rFonts w:ascii="Arial" w:eastAsia="Times New Roman" w:hAnsi="Arial" w:cs="Arial"/>
                <w:sz w:val="20"/>
                <w:szCs w:val="20"/>
                <w:lang w:eastAsia="nl-NL"/>
              </w:rPr>
            </w:pPr>
            <w:r w:rsidRPr="007534DA">
              <w:rPr>
                <w:rFonts w:ascii="Arial" w:eastAsia="Times New Roman" w:hAnsi="Arial" w:cs="Arial"/>
                <w:sz w:val="20"/>
                <w:szCs w:val="20"/>
                <w:lang w:eastAsia="nl-NL"/>
              </w:rPr>
              <w:t>2,03</w:t>
            </w:r>
          </w:p>
        </w:tc>
        <w:tc>
          <w:tcPr>
            <w:tcW w:w="1660" w:type="dxa"/>
            <w:shd w:val="clear" w:color="auto" w:fill="auto"/>
            <w:noWrap/>
            <w:vAlign w:val="bottom"/>
            <w:hideMark/>
          </w:tcPr>
          <w:p w14:paraId="29D03928" w14:textId="77777777" w:rsidR="00C043CC" w:rsidRPr="007534DA" w:rsidRDefault="00C043CC" w:rsidP="00FD2A32">
            <w:pPr>
              <w:spacing w:after="0" w:line="240" w:lineRule="auto"/>
              <w:jc w:val="right"/>
              <w:rPr>
                <w:rFonts w:ascii="Arial" w:eastAsia="Times New Roman" w:hAnsi="Arial" w:cs="Arial"/>
                <w:sz w:val="20"/>
                <w:szCs w:val="20"/>
                <w:lang w:eastAsia="nl-NL"/>
              </w:rPr>
            </w:pPr>
            <w:r w:rsidRPr="007534DA">
              <w:rPr>
                <w:rFonts w:ascii="Arial" w:eastAsia="Times New Roman" w:hAnsi="Arial" w:cs="Arial"/>
                <w:sz w:val="20"/>
                <w:szCs w:val="20"/>
                <w:lang w:eastAsia="nl-NL"/>
              </w:rPr>
              <w:t>2,02</w:t>
            </w:r>
          </w:p>
        </w:tc>
        <w:tc>
          <w:tcPr>
            <w:tcW w:w="1080" w:type="dxa"/>
            <w:shd w:val="clear" w:color="auto" w:fill="auto"/>
            <w:noWrap/>
            <w:vAlign w:val="bottom"/>
            <w:hideMark/>
          </w:tcPr>
          <w:p w14:paraId="342D8AD3" w14:textId="77777777" w:rsidR="00C043CC" w:rsidRPr="007534DA" w:rsidRDefault="00C043CC" w:rsidP="00FD2A32">
            <w:pPr>
              <w:spacing w:after="0" w:line="240" w:lineRule="auto"/>
              <w:jc w:val="right"/>
              <w:rPr>
                <w:rFonts w:ascii="Arial" w:eastAsia="Times New Roman" w:hAnsi="Arial" w:cs="Arial"/>
                <w:sz w:val="20"/>
                <w:szCs w:val="20"/>
                <w:lang w:eastAsia="nl-NL"/>
              </w:rPr>
            </w:pPr>
            <w:r w:rsidRPr="007534DA">
              <w:rPr>
                <w:rFonts w:ascii="Arial" w:eastAsia="Times New Roman" w:hAnsi="Arial" w:cs="Arial"/>
                <w:sz w:val="20"/>
                <w:szCs w:val="20"/>
                <w:lang w:eastAsia="nl-NL"/>
              </w:rPr>
              <w:t>-0,20</w:t>
            </w:r>
          </w:p>
        </w:tc>
      </w:tr>
      <w:tr w:rsidR="00C043CC" w:rsidRPr="007534DA" w14:paraId="14BF6138" w14:textId="77777777" w:rsidTr="00FD2A32">
        <w:trPr>
          <w:trHeight w:val="250"/>
        </w:trPr>
        <w:tc>
          <w:tcPr>
            <w:tcW w:w="3800" w:type="dxa"/>
            <w:shd w:val="clear" w:color="auto" w:fill="auto"/>
            <w:noWrap/>
            <w:vAlign w:val="bottom"/>
            <w:hideMark/>
          </w:tcPr>
          <w:p w14:paraId="1E7E9F2F" w14:textId="77777777" w:rsidR="00C043CC" w:rsidRPr="007534DA" w:rsidRDefault="00C043CC" w:rsidP="00FD2A32">
            <w:pPr>
              <w:spacing w:after="0" w:line="240" w:lineRule="auto"/>
              <w:rPr>
                <w:rFonts w:ascii="Arial" w:eastAsia="Times New Roman" w:hAnsi="Arial" w:cs="Arial"/>
                <w:sz w:val="20"/>
                <w:szCs w:val="20"/>
                <w:lang w:eastAsia="nl-NL"/>
              </w:rPr>
            </w:pPr>
            <w:r w:rsidRPr="007534DA">
              <w:rPr>
                <w:rFonts w:ascii="Arial" w:eastAsia="Times New Roman" w:hAnsi="Arial" w:cs="Arial"/>
                <w:sz w:val="20"/>
                <w:szCs w:val="20"/>
                <w:lang w:eastAsia="nl-NL"/>
              </w:rPr>
              <w:t>Scope 2</w:t>
            </w:r>
          </w:p>
        </w:tc>
        <w:tc>
          <w:tcPr>
            <w:tcW w:w="1660" w:type="dxa"/>
            <w:shd w:val="clear" w:color="auto" w:fill="auto"/>
            <w:noWrap/>
            <w:vAlign w:val="bottom"/>
            <w:hideMark/>
          </w:tcPr>
          <w:p w14:paraId="7AAD8F8F" w14:textId="77777777" w:rsidR="00C043CC" w:rsidRPr="007534DA" w:rsidRDefault="00C043CC" w:rsidP="00FD2A32">
            <w:pPr>
              <w:spacing w:after="0" w:line="240" w:lineRule="auto"/>
              <w:jc w:val="right"/>
              <w:rPr>
                <w:rFonts w:ascii="Arial" w:eastAsia="Times New Roman" w:hAnsi="Arial" w:cs="Arial"/>
                <w:sz w:val="20"/>
                <w:szCs w:val="20"/>
                <w:lang w:eastAsia="nl-NL"/>
              </w:rPr>
            </w:pPr>
            <w:r w:rsidRPr="007534DA">
              <w:rPr>
                <w:rFonts w:ascii="Arial" w:eastAsia="Times New Roman" w:hAnsi="Arial" w:cs="Arial"/>
                <w:sz w:val="20"/>
                <w:szCs w:val="20"/>
                <w:lang w:eastAsia="nl-NL"/>
              </w:rPr>
              <w:t>0,001</w:t>
            </w:r>
          </w:p>
        </w:tc>
        <w:tc>
          <w:tcPr>
            <w:tcW w:w="1660" w:type="dxa"/>
            <w:shd w:val="clear" w:color="auto" w:fill="auto"/>
            <w:noWrap/>
            <w:vAlign w:val="bottom"/>
            <w:hideMark/>
          </w:tcPr>
          <w:p w14:paraId="6F6957B5" w14:textId="77777777" w:rsidR="00C043CC" w:rsidRPr="007534DA" w:rsidRDefault="00C043CC" w:rsidP="00FD2A32">
            <w:pPr>
              <w:spacing w:after="0" w:line="240" w:lineRule="auto"/>
              <w:jc w:val="right"/>
              <w:rPr>
                <w:rFonts w:ascii="Arial" w:eastAsia="Times New Roman" w:hAnsi="Arial" w:cs="Arial"/>
                <w:sz w:val="20"/>
                <w:szCs w:val="20"/>
                <w:lang w:eastAsia="nl-NL"/>
              </w:rPr>
            </w:pPr>
            <w:r w:rsidRPr="007534DA">
              <w:rPr>
                <w:rFonts w:ascii="Arial" w:eastAsia="Times New Roman" w:hAnsi="Arial" w:cs="Arial"/>
                <w:sz w:val="20"/>
                <w:szCs w:val="20"/>
                <w:lang w:eastAsia="nl-NL"/>
              </w:rPr>
              <w:t>0,002</w:t>
            </w:r>
          </w:p>
        </w:tc>
        <w:tc>
          <w:tcPr>
            <w:tcW w:w="1080" w:type="dxa"/>
            <w:shd w:val="clear" w:color="auto" w:fill="auto"/>
            <w:noWrap/>
            <w:vAlign w:val="bottom"/>
            <w:hideMark/>
          </w:tcPr>
          <w:p w14:paraId="3756B736" w14:textId="77777777" w:rsidR="00C043CC" w:rsidRPr="007534DA" w:rsidRDefault="00C043CC" w:rsidP="00FD2A32">
            <w:pPr>
              <w:spacing w:after="0" w:line="240" w:lineRule="auto"/>
              <w:jc w:val="right"/>
              <w:rPr>
                <w:rFonts w:ascii="Arial" w:eastAsia="Times New Roman" w:hAnsi="Arial" w:cs="Arial"/>
                <w:sz w:val="20"/>
                <w:szCs w:val="20"/>
                <w:lang w:eastAsia="nl-NL"/>
              </w:rPr>
            </w:pPr>
            <w:r w:rsidRPr="007534DA">
              <w:rPr>
                <w:rFonts w:ascii="Arial" w:eastAsia="Times New Roman" w:hAnsi="Arial" w:cs="Arial"/>
                <w:sz w:val="20"/>
                <w:szCs w:val="20"/>
                <w:lang w:eastAsia="nl-NL"/>
              </w:rPr>
              <w:t>0,00</w:t>
            </w:r>
          </w:p>
        </w:tc>
      </w:tr>
      <w:tr w:rsidR="00C043CC" w:rsidRPr="007534DA" w14:paraId="26D4155B" w14:textId="77777777" w:rsidTr="00FD2A32">
        <w:trPr>
          <w:trHeight w:val="250"/>
        </w:trPr>
        <w:tc>
          <w:tcPr>
            <w:tcW w:w="3800" w:type="dxa"/>
            <w:shd w:val="clear" w:color="auto" w:fill="auto"/>
            <w:noWrap/>
            <w:vAlign w:val="bottom"/>
            <w:hideMark/>
          </w:tcPr>
          <w:p w14:paraId="0D016994" w14:textId="77777777" w:rsidR="00C043CC" w:rsidRPr="007534DA" w:rsidRDefault="00C043CC" w:rsidP="00FD2A32">
            <w:pPr>
              <w:spacing w:after="0" w:line="240" w:lineRule="auto"/>
              <w:rPr>
                <w:rFonts w:ascii="Arial" w:eastAsia="Times New Roman" w:hAnsi="Arial" w:cs="Arial"/>
                <w:sz w:val="20"/>
                <w:szCs w:val="20"/>
                <w:lang w:eastAsia="nl-NL"/>
              </w:rPr>
            </w:pPr>
            <w:r w:rsidRPr="007534DA">
              <w:rPr>
                <w:rFonts w:ascii="Arial" w:eastAsia="Times New Roman" w:hAnsi="Arial" w:cs="Arial"/>
                <w:sz w:val="20"/>
                <w:szCs w:val="20"/>
                <w:lang w:eastAsia="nl-NL"/>
              </w:rPr>
              <w:t>Scope 3</w:t>
            </w:r>
          </w:p>
        </w:tc>
        <w:tc>
          <w:tcPr>
            <w:tcW w:w="1660" w:type="dxa"/>
            <w:shd w:val="clear" w:color="auto" w:fill="auto"/>
            <w:noWrap/>
            <w:vAlign w:val="bottom"/>
            <w:hideMark/>
          </w:tcPr>
          <w:p w14:paraId="0A3C0A24" w14:textId="77777777" w:rsidR="00C043CC" w:rsidRPr="007534DA" w:rsidRDefault="00C043CC" w:rsidP="00FD2A32">
            <w:pPr>
              <w:spacing w:after="0" w:line="240" w:lineRule="auto"/>
              <w:jc w:val="right"/>
              <w:rPr>
                <w:rFonts w:ascii="Arial" w:eastAsia="Times New Roman" w:hAnsi="Arial" w:cs="Arial"/>
                <w:sz w:val="20"/>
                <w:szCs w:val="20"/>
                <w:lang w:eastAsia="nl-NL"/>
              </w:rPr>
            </w:pPr>
            <w:r w:rsidRPr="007534DA">
              <w:rPr>
                <w:rFonts w:ascii="Arial" w:eastAsia="Times New Roman" w:hAnsi="Arial" w:cs="Arial"/>
                <w:sz w:val="20"/>
                <w:szCs w:val="20"/>
                <w:lang w:eastAsia="nl-NL"/>
              </w:rPr>
              <w:t>0,000</w:t>
            </w:r>
          </w:p>
        </w:tc>
        <w:tc>
          <w:tcPr>
            <w:tcW w:w="1660" w:type="dxa"/>
            <w:shd w:val="clear" w:color="auto" w:fill="auto"/>
            <w:noWrap/>
            <w:vAlign w:val="bottom"/>
            <w:hideMark/>
          </w:tcPr>
          <w:p w14:paraId="3C5DC379" w14:textId="77777777" w:rsidR="00C043CC" w:rsidRPr="007534DA" w:rsidRDefault="00C043CC" w:rsidP="00FD2A32">
            <w:pPr>
              <w:spacing w:after="0" w:line="240" w:lineRule="auto"/>
              <w:jc w:val="right"/>
              <w:rPr>
                <w:rFonts w:ascii="Arial" w:eastAsia="Times New Roman" w:hAnsi="Arial" w:cs="Arial"/>
                <w:sz w:val="20"/>
                <w:szCs w:val="20"/>
                <w:lang w:eastAsia="nl-NL"/>
              </w:rPr>
            </w:pPr>
            <w:r w:rsidRPr="007534DA">
              <w:rPr>
                <w:rFonts w:ascii="Arial" w:eastAsia="Times New Roman" w:hAnsi="Arial" w:cs="Arial"/>
                <w:sz w:val="20"/>
                <w:szCs w:val="20"/>
                <w:lang w:eastAsia="nl-NL"/>
              </w:rPr>
              <w:t>0,000</w:t>
            </w:r>
          </w:p>
        </w:tc>
        <w:tc>
          <w:tcPr>
            <w:tcW w:w="1080" w:type="dxa"/>
            <w:shd w:val="clear" w:color="auto" w:fill="auto"/>
            <w:noWrap/>
            <w:vAlign w:val="bottom"/>
            <w:hideMark/>
          </w:tcPr>
          <w:p w14:paraId="7420BBDD" w14:textId="77777777" w:rsidR="00C043CC" w:rsidRPr="007534DA" w:rsidRDefault="00C043CC" w:rsidP="00FD2A32">
            <w:pPr>
              <w:spacing w:after="0" w:line="240" w:lineRule="auto"/>
              <w:jc w:val="right"/>
              <w:rPr>
                <w:rFonts w:ascii="Arial" w:eastAsia="Times New Roman" w:hAnsi="Arial" w:cs="Arial"/>
                <w:sz w:val="20"/>
                <w:szCs w:val="20"/>
                <w:lang w:eastAsia="nl-NL"/>
              </w:rPr>
            </w:pPr>
            <w:r w:rsidRPr="007534DA">
              <w:rPr>
                <w:rFonts w:ascii="Arial" w:eastAsia="Times New Roman" w:hAnsi="Arial" w:cs="Arial"/>
                <w:sz w:val="20"/>
                <w:szCs w:val="20"/>
                <w:lang w:eastAsia="nl-NL"/>
              </w:rPr>
              <w:t>0,00</w:t>
            </w:r>
          </w:p>
        </w:tc>
      </w:tr>
      <w:tr w:rsidR="00C043CC" w:rsidRPr="007534DA" w14:paraId="237BAEE8" w14:textId="77777777" w:rsidTr="00FD2A32">
        <w:trPr>
          <w:trHeight w:val="250"/>
        </w:trPr>
        <w:tc>
          <w:tcPr>
            <w:tcW w:w="3800" w:type="dxa"/>
            <w:shd w:val="clear" w:color="auto" w:fill="auto"/>
            <w:noWrap/>
            <w:vAlign w:val="bottom"/>
            <w:hideMark/>
          </w:tcPr>
          <w:p w14:paraId="31441881" w14:textId="77777777" w:rsidR="00C043CC" w:rsidRPr="007534DA" w:rsidRDefault="00C043CC" w:rsidP="00FD2A32">
            <w:pPr>
              <w:spacing w:after="0" w:line="240" w:lineRule="auto"/>
              <w:rPr>
                <w:rFonts w:ascii="Arial" w:eastAsia="Times New Roman" w:hAnsi="Arial" w:cs="Arial"/>
                <w:sz w:val="20"/>
                <w:szCs w:val="20"/>
                <w:lang w:eastAsia="nl-NL"/>
              </w:rPr>
            </w:pPr>
            <w:r w:rsidRPr="007534DA">
              <w:rPr>
                <w:rFonts w:ascii="Arial" w:eastAsia="Times New Roman" w:hAnsi="Arial" w:cs="Arial"/>
                <w:sz w:val="20"/>
                <w:szCs w:val="20"/>
                <w:lang w:eastAsia="nl-NL"/>
              </w:rPr>
              <w:t>Emissie CO2 totaal t.o.v. omzet</w:t>
            </w:r>
          </w:p>
        </w:tc>
        <w:tc>
          <w:tcPr>
            <w:tcW w:w="1660" w:type="dxa"/>
            <w:shd w:val="clear" w:color="auto" w:fill="auto"/>
            <w:noWrap/>
            <w:vAlign w:val="bottom"/>
            <w:hideMark/>
          </w:tcPr>
          <w:p w14:paraId="1C6CDB8A" w14:textId="77777777" w:rsidR="00C043CC" w:rsidRPr="007534DA" w:rsidRDefault="00C043CC" w:rsidP="00FD2A32">
            <w:pPr>
              <w:spacing w:after="0" w:line="240" w:lineRule="auto"/>
              <w:jc w:val="right"/>
              <w:rPr>
                <w:rFonts w:ascii="Arial" w:eastAsia="Times New Roman" w:hAnsi="Arial" w:cs="Arial"/>
                <w:sz w:val="20"/>
                <w:szCs w:val="20"/>
                <w:lang w:eastAsia="nl-NL"/>
              </w:rPr>
            </w:pPr>
            <w:r w:rsidRPr="007534DA">
              <w:rPr>
                <w:rFonts w:ascii="Arial" w:eastAsia="Times New Roman" w:hAnsi="Arial" w:cs="Arial"/>
                <w:sz w:val="20"/>
                <w:szCs w:val="20"/>
                <w:lang w:eastAsia="nl-NL"/>
              </w:rPr>
              <w:t>2,03</w:t>
            </w:r>
          </w:p>
        </w:tc>
        <w:tc>
          <w:tcPr>
            <w:tcW w:w="1660" w:type="dxa"/>
            <w:shd w:val="clear" w:color="auto" w:fill="auto"/>
            <w:noWrap/>
            <w:vAlign w:val="bottom"/>
            <w:hideMark/>
          </w:tcPr>
          <w:p w14:paraId="172F0C56" w14:textId="77777777" w:rsidR="00C043CC" w:rsidRPr="007534DA" w:rsidRDefault="00C043CC" w:rsidP="00FD2A32">
            <w:pPr>
              <w:spacing w:after="0" w:line="240" w:lineRule="auto"/>
              <w:jc w:val="right"/>
              <w:rPr>
                <w:rFonts w:ascii="Arial" w:eastAsia="Times New Roman" w:hAnsi="Arial" w:cs="Arial"/>
                <w:sz w:val="20"/>
                <w:szCs w:val="20"/>
                <w:lang w:eastAsia="nl-NL"/>
              </w:rPr>
            </w:pPr>
            <w:r w:rsidRPr="007534DA">
              <w:rPr>
                <w:rFonts w:ascii="Arial" w:eastAsia="Times New Roman" w:hAnsi="Arial" w:cs="Arial"/>
                <w:sz w:val="20"/>
                <w:szCs w:val="20"/>
                <w:lang w:eastAsia="nl-NL"/>
              </w:rPr>
              <w:t>2,03</w:t>
            </w:r>
          </w:p>
        </w:tc>
        <w:tc>
          <w:tcPr>
            <w:tcW w:w="1080" w:type="dxa"/>
            <w:shd w:val="clear" w:color="auto" w:fill="auto"/>
            <w:noWrap/>
            <w:vAlign w:val="bottom"/>
            <w:hideMark/>
          </w:tcPr>
          <w:p w14:paraId="02F8F27F" w14:textId="77777777" w:rsidR="00C043CC" w:rsidRPr="007534DA" w:rsidRDefault="00C043CC" w:rsidP="00FD2A32">
            <w:pPr>
              <w:spacing w:after="0" w:line="240" w:lineRule="auto"/>
              <w:jc w:val="right"/>
              <w:rPr>
                <w:rFonts w:ascii="Arial" w:eastAsia="Times New Roman" w:hAnsi="Arial" w:cs="Arial"/>
                <w:sz w:val="20"/>
                <w:szCs w:val="20"/>
                <w:lang w:eastAsia="nl-NL"/>
              </w:rPr>
            </w:pPr>
            <w:r w:rsidRPr="007534DA">
              <w:rPr>
                <w:rFonts w:ascii="Arial" w:eastAsia="Times New Roman" w:hAnsi="Arial" w:cs="Arial"/>
                <w:sz w:val="20"/>
                <w:szCs w:val="20"/>
                <w:lang w:eastAsia="nl-NL"/>
              </w:rPr>
              <w:t>-0,16</w:t>
            </w:r>
          </w:p>
        </w:tc>
      </w:tr>
    </w:tbl>
    <w:p w14:paraId="2550F280" w14:textId="77777777" w:rsidR="00C043CC" w:rsidRDefault="00C043CC" w:rsidP="00AA6E37">
      <w:pPr>
        <w:pStyle w:val="Geenafstand"/>
      </w:pPr>
    </w:p>
    <w:p w14:paraId="72AD43D6" w14:textId="77777777" w:rsidR="00AA6E37" w:rsidRPr="00AA6E37" w:rsidRDefault="00AA6E37" w:rsidP="005D3A0C">
      <w:pPr>
        <w:pStyle w:val="Kop1"/>
        <w:numPr>
          <w:ilvl w:val="0"/>
          <w:numId w:val="1"/>
        </w:numPr>
      </w:pPr>
      <w:bookmarkStart w:id="7" w:name="_Toc88559540"/>
      <w:r w:rsidRPr="00AA6E37">
        <w:t>Kwantificeringsmethoden</w:t>
      </w:r>
      <w:bookmarkEnd w:id="7"/>
    </w:p>
    <w:p w14:paraId="7C10669E" w14:textId="3DF58535" w:rsidR="00AA6E37" w:rsidRDefault="00AA6E37" w:rsidP="00AA6E37">
      <w:pPr>
        <w:pStyle w:val="Geenafstand"/>
      </w:pPr>
      <w:r>
        <w:t xml:space="preserve">Voor het kwantificeren van de CO2 uitstoot is gebruik gemaakt van een voor </w:t>
      </w:r>
      <w:r w:rsidR="007A0C00">
        <w:t>W. &amp; E. van Kasteren B.V.</w:t>
      </w:r>
      <w:r>
        <w:t xml:space="preserve"> op maat gemaakt model. In het model kunnen alle verbruiken worden ingevuld. Vervolgens wordt de daarbij behorende CO2 uitstoot automatisch berekend en vergeleken met het basisjaar. </w:t>
      </w:r>
      <w:r w:rsidR="000B31EB">
        <w:t xml:space="preserve">Hierbij zijn de emissiefactoren zoals weergegeven op </w:t>
      </w:r>
      <w:hyperlink r:id="rId13" w:history="1">
        <w:r w:rsidR="000B31EB">
          <w:rPr>
            <w:rStyle w:val="Hyperlink"/>
          </w:rPr>
          <w:t>www.co2emissiefactoren.nl</w:t>
        </w:r>
      </w:hyperlink>
      <w:r w:rsidR="000B31EB">
        <w:t xml:space="preserve"> gehanteerd.</w:t>
      </w:r>
    </w:p>
    <w:p w14:paraId="1C3DC199" w14:textId="77777777" w:rsidR="00AA6E37" w:rsidRPr="00846DCD" w:rsidRDefault="00AA6E37" w:rsidP="005D3A0C">
      <w:pPr>
        <w:pStyle w:val="Kop1"/>
        <w:numPr>
          <w:ilvl w:val="0"/>
          <w:numId w:val="1"/>
        </w:numPr>
      </w:pPr>
      <w:bookmarkStart w:id="8" w:name="_Toc88559541"/>
      <w:r w:rsidRPr="00846DCD">
        <w:t>Emissiefactoren</w:t>
      </w:r>
      <w:bookmarkEnd w:id="8"/>
    </w:p>
    <w:p w14:paraId="0838CA5A" w14:textId="1B2481F1" w:rsidR="00846DCD" w:rsidRDefault="00AA6E37" w:rsidP="00AA6E37">
      <w:pPr>
        <w:pStyle w:val="Geenafstand"/>
      </w:pPr>
      <w:r>
        <w:t xml:space="preserve">Voor de inventarisatie van de CO2 uitstoot van </w:t>
      </w:r>
      <w:r w:rsidR="007A0C00">
        <w:t xml:space="preserve">W. &amp; E. van Kasteren B.V. </w:t>
      </w:r>
      <w:r>
        <w:t xml:space="preserve">over het jaar </w:t>
      </w:r>
      <w:r w:rsidR="007A0C00">
        <w:t>202</w:t>
      </w:r>
      <w:r w:rsidR="004979C5">
        <w:t>2</w:t>
      </w:r>
      <w:r w:rsidR="007A0C00">
        <w:t>.</w:t>
      </w:r>
      <w:r>
        <w:t xml:space="preserve"> zijn de emissiefactoren zoals weergegeven op </w:t>
      </w:r>
      <w:hyperlink r:id="rId14" w:history="1">
        <w:r w:rsidR="00846DCD" w:rsidRPr="00E020E5">
          <w:rPr>
            <w:rStyle w:val="Hyperlink"/>
          </w:rPr>
          <w:t>www.co2emissiefactoren.nl</w:t>
        </w:r>
      </w:hyperlink>
      <w:r w:rsidR="00846DCD">
        <w:t xml:space="preserve"> </w:t>
      </w:r>
      <w:r>
        <w:t xml:space="preserve">gehanteerd. Omdat het gaat om specifieke emissiefactoren op nationaal niveau, zijn de gehanteerde emissiefactoren zeer geschikt </w:t>
      </w:r>
      <w:r>
        <w:lastRenderedPageBreak/>
        <w:t xml:space="preserve">voor het omrekenen van de broeikasgas activiteiten data naar de daarmee gepaard gaande CO2 emissie. Alle gebruikte emissiefactoren zijn opgenomen in de berekening van de CO2 footprint. De emissiefactoren van </w:t>
      </w:r>
      <w:r w:rsidR="007A0C00">
        <w:t xml:space="preserve">W. &amp; E. van Kasteren B.V. </w:t>
      </w:r>
      <w:r>
        <w:t xml:space="preserve">zullen te allen tijde mee gaan met wijzigingen in de emissiefactoren zoals weergegeven op </w:t>
      </w:r>
      <w:hyperlink r:id="rId15" w:history="1">
        <w:r w:rsidR="00846DCD" w:rsidRPr="00E020E5">
          <w:rPr>
            <w:rStyle w:val="Hyperlink"/>
          </w:rPr>
          <w:t>www.co2emissiefactoren.nl</w:t>
        </w:r>
      </w:hyperlink>
      <w:r w:rsidR="00846DCD">
        <w:t xml:space="preserve">. </w:t>
      </w:r>
      <w:r>
        <w:t>Er zijn geen “Removal factors” van toepassing.</w:t>
      </w:r>
    </w:p>
    <w:p w14:paraId="05B781EA" w14:textId="77777777" w:rsidR="00AA6E37" w:rsidRPr="00846DCD" w:rsidRDefault="00AA6E37" w:rsidP="005D3A0C">
      <w:pPr>
        <w:pStyle w:val="Kop1"/>
        <w:numPr>
          <w:ilvl w:val="0"/>
          <w:numId w:val="1"/>
        </w:numPr>
      </w:pPr>
      <w:bookmarkStart w:id="9" w:name="_Toc88559542"/>
      <w:r w:rsidRPr="00846DCD">
        <w:t>Onzekerheden</w:t>
      </w:r>
      <w:bookmarkEnd w:id="9"/>
    </w:p>
    <w:p w14:paraId="6BFFAFB8" w14:textId="77777777" w:rsidR="00AA6E37" w:rsidRDefault="00AA6E37" w:rsidP="00AA6E37">
      <w:pPr>
        <w:pStyle w:val="Geenafstand"/>
      </w:pPr>
      <w:r>
        <w:t>De gepresenteerde resultaten moeten worden gezien als de beste inschatting van de werkelijke waardes. Bijna alle gebruikte gegevens voor de berekening van de CO2 footprint zijn gebaseerd op facturen en/of werkelijk gemeten aantallen. Hierdoor is de onzekerheidsmarge zeer gering. Er zijn geen onzekerheden.</w:t>
      </w:r>
    </w:p>
    <w:p w14:paraId="4B050B25" w14:textId="77777777" w:rsidR="00846DCD" w:rsidRPr="00846DCD" w:rsidRDefault="00846DCD" w:rsidP="005D3A0C">
      <w:pPr>
        <w:pStyle w:val="Kop1"/>
        <w:numPr>
          <w:ilvl w:val="0"/>
          <w:numId w:val="1"/>
        </w:numPr>
      </w:pPr>
      <w:bookmarkStart w:id="10" w:name="_Toc88559543"/>
      <w:r w:rsidRPr="00846DCD">
        <w:t xml:space="preserve">Rapportage volgens ISO 14064 deel </w:t>
      </w:r>
      <w:r w:rsidR="00AE6EBE">
        <w:t>9</w:t>
      </w:r>
      <w:bookmarkEnd w:id="10"/>
    </w:p>
    <w:p w14:paraId="1B897A76" w14:textId="77777777" w:rsidR="00846DCD" w:rsidRDefault="00846DCD" w:rsidP="00846DCD">
      <w:pPr>
        <w:pStyle w:val="Geenafstand"/>
      </w:pPr>
      <w:r>
        <w:t>Dit rapport is opgesteld volgens de e</w:t>
      </w:r>
      <w:r w:rsidR="00AE6EBE">
        <w:t>isen uit ISO 14064-1 paragraaf 9</w:t>
      </w:r>
      <w:r w:rsidR="00334D6D">
        <w:t xml:space="preserve">.3.1 </w:t>
      </w:r>
      <w:r>
        <w:t>In onderstaande tabel is een cross reference gemaakt van de onderdelen uit ISO 14064 en de hoofdstukken in het rapport.</w:t>
      </w:r>
    </w:p>
    <w:p w14:paraId="042BC98D" w14:textId="77777777" w:rsidR="00846DCD" w:rsidRDefault="00846DCD" w:rsidP="00846DCD">
      <w:pPr>
        <w:pStyle w:val="Geenafstand"/>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6306"/>
        <w:gridCol w:w="1842"/>
      </w:tblGrid>
      <w:tr w:rsidR="00334D6D" w:rsidRPr="00846DCD" w14:paraId="79D12AB3" w14:textId="77777777" w:rsidTr="00334D6D">
        <w:tc>
          <w:tcPr>
            <w:tcW w:w="7225" w:type="dxa"/>
            <w:gridSpan w:val="2"/>
            <w:shd w:val="clear" w:color="auto" w:fill="0B3B60"/>
          </w:tcPr>
          <w:p w14:paraId="1EDFE10B" w14:textId="77777777" w:rsidR="00334D6D" w:rsidRPr="00846DCD" w:rsidRDefault="00334D6D" w:rsidP="00846DCD">
            <w:pPr>
              <w:pStyle w:val="Geenafstand"/>
              <w:rPr>
                <w:b/>
                <w:color w:val="FFFFFF" w:themeColor="background1"/>
              </w:rPr>
            </w:pPr>
            <w:r>
              <w:rPr>
                <w:b/>
                <w:color w:val="FFFFFF" w:themeColor="background1"/>
              </w:rPr>
              <w:t>Eisen § 9</w:t>
            </w:r>
            <w:r w:rsidRPr="00846DCD">
              <w:rPr>
                <w:b/>
                <w:color w:val="FFFFFF" w:themeColor="background1"/>
              </w:rPr>
              <w:t>.3 GHG report content</w:t>
            </w:r>
          </w:p>
        </w:tc>
        <w:tc>
          <w:tcPr>
            <w:tcW w:w="1842" w:type="dxa"/>
            <w:shd w:val="clear" w:color="auto" w:fill="0B3B60"/>
          </w:tcPr>
          <w:p w14:paraId="0DC92D07" w14:textId="77777777" w:rsidR="00334D6D" w:rsidRPr="00846DCD" w:rsidRDefault="00334D6D" w:rsidP="00846DCD">
            <w:pPr>
              <w:pStyle w:val="Geenafstand"/>
              <w:rPr>
                <w:b/>
                <w:color w:val="FFFFFF" w:themeColor="background1"/>
              </w:rPr>
            </w:pPr>
            <w:r>
              <w:rPr>
                <w:b/>
                <w:color w:val="FFFFFF" w:themeColor="background1"/>
              </w:rPr>
              <w:t xml:space="preserve">Deze rapportage </w:t>
            </w:r>
          </w:p>
        </w:tc>
      </w:tr>
      <w:tr w:rsidR="00334D6D" w:rsidRPr="00B55DDC" w14:paraId="490E1DA5" w14:textId="77777777" w:rsidTr="00334D6D">
        <w:tc>
          <w:tcPr>
            <w:tcW w:w="919" w:type="dxa"/>
          </w:tcPr>
          <w:p w14:paraId="686007F7" w14:textId="77777777" w:rsidR="00334D6D" w:rsidRPr="00B55DDC" w:rsidRDefault="00334D6D" w:rsidP="00846DCD">
            <w:pPr>
              <w:pStyle w:val="Geenafstand"/>
            </w:pPr>
            <w:r>
              <w:t>a</w:t>
            </w:r>
          </w:p>
        </w:tc>
        <w:tc>
          <w:tcPr>
            <w:tcW w:w="6306" w:type="dxa"/>
          </w:tcPr>
          <w:p w14:paraId="471E8125" w14:textId="77777777" w:rsidR="00334D6D" w:rsidRPr="00EA7268" w:rsidRDefault="00334D6D" w:rsidP="00846DCD">
            <w:pPr>
              <w:pStyle w:val="Geenafstand"/>
              <w:rPr>
                <w:lang w:val="en-US"/>
              </w:rPr>
            </w:pPr>
            <w:r w:rsidRPr="00EA7268">
              <w:rPr>
                <w:lang w:val="en-US"/>
              </w:rPr>
              <w:t>Description of the reporting organization</w:t>
            </w:r>
          </w:p>
        </w:tc>
        <w:tc>
          <w:tcPr>
            <w:tcW w:w="1842" w:type="dxa"/>
          </w:tcPr>
          <w:p w14:paraId="784D504A" w14:textId="77777777" w:rsidR="00334D6D" w:rsidRPr="00B55DDC" w:rsidRDefault="00334D6D" w:rsidP="00846DCD">
            <w:pPr>
              <w:pStyle w:val="Geenafstand"/>
            </w:pPr>
            <w:r w:rsidRPr="00B55DDC">
              <w:t>2</w:t>
            </w:r>
          </w:p>
        </w:tc>
      </w:tr>
      <w:tr w:rsidR="00334D6D" w:rsidRPr="00B55DDC" w14:paraId="347E6172" w14:textId="77777777" w:rsidTr="00334D6D">
        <w:tc>
          <w:tcPr>
            <w:tcW w:w="919" w:type="dxa"/>
          </w:tcPr>
          <w:p w14:paraId="3D941909" w14:textId="77777777" w:rsidR="00334D6D" w:rsidRPr="00B55DDC" w:rsidRDefault="005D3A0C" w:rsidP="00846DCD">
            <w:pPr>
              <w:pStyle w:val="Geenafstand"/>
            </w:pPr>
            <w:r>
              <w:t>b</w:t>
            </w:r>
          </w:p>
        </w:tc>
        <w:tc>
          <w:tcPr>
            <w:tcW w:w="6306" w:type="dxa"/>
          </w:tcPr>
          <w:p w14:paraId="75913CCB" w14:textId="77777777" w:rsidR="00334D6D" w:rsidRPr="00EA7268" w:rsidRDefault="00334D6D" w:rsidP="00846DCD">
            <w:pPr>
              <w:pStyle w:val="Geenafstand"/>
              <w:rPr>
                <w:lang w:val="en-US"/>
              </w:rPr>
            </w:pPr>
            <w:r w:rsidRPr="00EA7268">
              <w:rPr>
                <w:lang w:val="en-US"/>
              </w:rPr>
              <w:t>Person or entity responsible for the report</w:t>
            </w:r>
          </w:p>
        </w:tc>
        <w:tc>
          <w:tcPr>
            <w:tcW w:w="1842" w:type="dxa"/>
          </w:tcPr>
          <w:p w14:paraId="5FD61F5F" w14:textId="77777777" w:rsidR="00334D6D" w:rsidRPr="00B55DDC" w:rsidRDefault="00334D6D" w:rsidP="00846DCD">
            <w:pPr>
              <w:pStyle w:val="Geenafstand"/>
            </w:pPr>
            <w:r w:rsidRPr="00B55DDC">
              <w:t>3</w:t>
            </w:r>
          </w:p>
        </w:tc>
      </w:tr>
      <w:tr w:rsidR="00334D6D" w:rsidRPr="00B55DDC" w14:paraId="658C32E5" w14:textId="77777777" w:rsidTr="00334D6D">
        <w:tc>
          <w:tcPr>
            <w:tcW w:w="919" w:type="dxa"/>
          </w:tcPr>
          <w:p w14:paraId="6F6D1566" w14:textId="77777777" w:rsidR="00334D6D" w:rsidRPr="00B55DDC" w:rsidRDefault="005D3A0C" w:rsidP="00846DCD">
            <w:pPr>
              <w:pStyle w:val="Geenafstand"/>
            </w:pPr>
            <w:r w:rsidRPr="00B55DDC">
              <w:t>c</w:t>
            </w:r>
          </w:p>
        </w:tc>
        <w:tc>
          <w:tcPr>
            <w:tcW w:w="6306" w:type="dxa"/>
          </w:tcPr>
          <w:p w14:paraId="46DAD2BB" w14:textId="77777777" w:rsidR="00334D6D" w:rsidRPr="00B55DDC" w:rsidRDefault="00334D6D" w:rsidP="00846DCD">
            <w:pPr>
              <w:pStyle w:val="Geenafstand"/>
            </w:pPr>
            <w:r>
              <w:t>Reporting period covered</w:t>
            </w:r>
          </w:p>
        </w:tc>
        <w:tc>
          <w:tcPr>
            <w:tcW w:w="1842" w:type="dxa"/>
          </w:tcPr>
          <w:p w14:paraId="53D32055" w14:textId="77777777" w:rsidR="00334D6D" w:rsidRPr="00B55DDC" w:rsidRDefault="00334D6D" w:rsidP="00846DCD">
            <w:pPr>
              <w:pStyle w:val="Geenafstand"/>
            </w:pPr>
            <w:r w:rsidRPr="00B55DDC">
              <w:t>4</w:t>
            </w:r>
          </w:p>
        </w:tc>
      </w:tr>
      <w:tr w:rsidR="00334D6D" w:rsidRPr="00B55DDC" w14:paraId="12C61B1A" w14:textId="77777777" w:rsidTr="00334D6D">
        <w:tc>
          <w:tcPr>
            <w:tcW w:w="919" w:type="dxa"/>
          </w:tcPr>
          <w:p w14:paraId="4E89691C" w14:textId="77777777" w:rsidR="00334D6D" w:rsidRPr="00B55DDC" w:rsidRDefault="005D3A0C" w:rsidP="00846DCD">
            <w:pPr>
              <w:pStyle w:val="Geenafstand"/>
            </w:pPr>
            <w:r w:rsidRPr="00B55DDC">
              <w:t>d</w:t>
            </w:r>
          </w:p>
        </w:tc>
        <w:tc>
          <w:tcPr>
            <w:tcW w:w="6306" w:type="dxa"/>
          </w:tcPr>
          <w:p w14:paraId="089242EC" w14:textId="77777777" w:rsidR="00334D6D" w:rsidRPr="00B55DDC" w:rsidRDefault="00334D6D" w:rsidP="00846DCD">
            <w:pPr>
              <w:pStyle w:val="Geenafstand"/>
            </w:pPr>
            <w:r>
              <w:t>Documentation of organizational boundaries</w:t>
            </w:r>
          </w:p>
        </w:tc>
        <w:tc>
          <w:tcPr>
            <w:tcW w:w="1842" w:type="dxa"/>
          </w:tcPr>
          <w:p w14:paraId="6E1E12DA" w14:textId="77777777" w:rsidR="00334D6D" w:rsidRPr="00B55DDC" w:rsidRDefault="00334D6D" w:rsidP="00846DCD">
            <w:pPr>
              <w:pStyle w:val="Geenafstand"/>
            </w:pPr>
            <w:r>
              <w:t>5</w:t>
            </w:r>
          </w:p>
        </w:tc>
      </w:tr>
      <w:tr w:rsidR="00334D6D" w:rsidRPr="00B55DDC" w14:paraId="0CDAA675" w14:textId="77777777" w:rsidTr="00334D6D">
        <w:tc>
          <w:tcPr>
            <w:tcW w:w="919" w:type="dxa"/>
          </w:tcPr>
          <w:p w14:paraId="550A691E" w14:textId="77777777" w:rsidR="00334D6D" w:rsidRPr="00B55DDC" w:rsidRDefault="005D3A0C" w:rsidP="00846DCD">
            <w:pPr>
              <w:pStyle w:val="Geenafstand"/>
            </w:pPr>
            <w:r w:rsidRPr="00B55DDC">
              <w:t>e</w:t>
            </w:r>
          </w:p>
        </w:tc>
        <w:tc>
          <w:tcPr>
            <w:tcW w:w="6306" w:type="dxa"/>
          </w:tcPr>
          <w:p w14:paraId="0B6F9857" w14:textId="77777777" w:rsidR="00334D6D" w:rsidRPr="00EA7268" w:rsidRDefault="00334D6D" w:rsidP="00846DCD">
            <w:pPr>
              <w:pStyle w:val="Geenafstand"/>
              <w:rPr>
                <w:lang w:val="en-US"/>
              </w:rPr>
            </w:pPr>
            <w:r w:rsidRPr="00EA7268">
              <w:rPr>
                <w:lang w:val="en-US"/>
              </w:rPr>
              <w:t>Documentation of reporting boundaries, including criteria determined by the organization to define significant emissions</w:t>
            </w:r>
          </w:p>
        </w:tc>
        <w:tc>
          <w:tcPr>
            <w:tcW w:w="1842" w:type="dxa"/>
          </w:tcPr>
          <w:p w14:paraId="5333FF6C" w14:textId="77777777" w:rsidR="00334D6D" w:rsidRPr="00B55DDC" w:rsidRDefault="00334D6D" w:rsidP="00846DCD">
            <w:pPr>
              <w:pStyle w:val="Geenafstand"/>
            </w:pPr>
            <w:r>
              <w:t>5</w:t>
            </w:r>
          </w:p>
        </w:tc>
      </w:tr>
      <w:tr w:rsidR="00334D6D" w:rsidRPr="00B55DDC" w14:paraId="7CD75688" w14:textId="77777777" w:rsidTr="00334D6D">
        <w:tc>
          <w:tcPr>
            <w:tcW w:w="919" w:type="dxa"/>
          </w:tcPr>
          <w:p w14:paraId="3B309046" w14:textId="77777777" w:rsidR="00334D6D" w:rsidRPr="00B55DDC" w:rsidRDefault="005D3A0C" w:rsidP="00846DCD">
            <w:pPr>
              <w:pStyle w:val="Geenafstand"/>
            </w:pPr>
            <w:r w:rsidRPr="00B55DDC">
              <w:t>f</w:t>
            </w:r>
          </w:p>
        </w:tc>
        <w:tc>
          <w:tcPr>
            <w:tcW w:w="6306" w:type="dxa"/>
          </w:tcPr>
          <w:p w14:paraId="511BA8FE" w14:textId="77777777" w:rsidR="00334D6D" w:rsidRPr="00EA7268" w:rsidRDefault="00334D6D" w:rsidP="00846DCD">
            <w:pPr>
              <w:pStyle w:val="Geenafstand"/>
              <w:rPr>
                <w:lang w:val="en-US"/>
              </w:rPr>
            </w:pPr>
            <w:r w:rsidRPr="00EA7268">
              <w:rPr>
                <w:lang w:val="en-US"/>
              </w:rPr>
              <w:t>Direct GHG emissions, quantified separately for CO2, CH4, N2O, NF3, SF6 and other appropriate GHG groups (HFC’s, PFCs, etc.) in tonnes of CO2e</w:t>
            </w:r>
          </w:p>
        </w:tc>
        <w:tc>
          <w:tcPr>
            <w:tcW w:w="1842" w:type="dxa"/>
          </w:tcPr>
          <w:p w14:paraId="2D2EF0C4" w14:textId="77777777" w:rsidR="00334D6D" w:rsidRPr="00B55DDC" w:rsidRDefault="00334D6D" w:rsidP="00846DCD">
            <w:pPr>
              <w:pStyle w:val="Geenafstand"/>
            </w:pPr>
            <w:r>
              <w:t>6</w:t>
            </w:r>
          </w:p>
        </w:tc>
      </w:tr>
      <w:tr w:rsidR="00334D6D" w:rsidRPr="00B55DDC" w14:paraId="6F6DFB4C" w14:textId="77777777" w:rsidTr="00334D6D">
        <w:tc>
          <w:tcPr>
            <w:tcW w:w="919" w:type="dxa"/>
          </w:tcPr>
          <w:p w14:paraId="6C1F9C9C" w14:textId="77777777" w:rsidR="00334D6D" w:rsidRPr="00B55DDC" w:rsidRDefault="005D3A0C" w:rsidP="00846DCD">
            <w:pPr>
              <w:pStyle w:val="Geenafstand"/>
            </w:pPr>
            <w:r>
              <w:t>g</w:t>
            </w:r>
          </w:p>
        </w:tc>
        <w:tc>
          <w:tcPr>
            <w:tcW w:w="6306" w:type="dxa"/>
          </w:tcPr>
          <w:p w14:paraId="13C7FA98" w14:textId="77777777" w:rsidR="00334D6D" w:rsidRPr="00EA7268" w:rsidRDefault="00334D6D" w:rsidP="00846DCD">
            <w:pPr>
              <w:pStyle w:val="Geenafstand"/>
              <w:rPr>
                <w:lang w:val="en-US"/>
              </w:rPr>
            </w:pPr>
            <w:r w:rsidRPr="00EA7268">
              <w:rPr>
                <w:lang w:val="en-US"/>
              </w:rPr>
              <w:t>A description of how biogenic CO2 emissions and removals are treated in the GHG inventory and the relevant biogenic CO2 emissions and removals quantified separately in tonnes of CO2e</w:t>
            </w:r>
          </w:p>
        </w:tc>
        <w:tc>
          <w:tcPr>
            <w:tcW w:w="1842" w:type="dxa"/>
          </w:tcPr>
          <w:p w14:paraId="79E55EAD" w14:textId="77777777" w:rsidR="00334D6D" w:rsidRPr="00B55DDC" w:rsidRDefault="005D3A0C" w:rsidP="00846DCD">
            <w:pPr>
              <w:pStyle w:val="Geenafstand"/>
            </w:pPr>
            <w:r>
              <w:t>6</w:t>
            </w:r>
          </w:p>
        </w:tc>
      </w:tr>
      <w:tr w:rsidR="00334D6D" w:rsidRPr="00B55DDC" w14:paraId="42B071A3" w14:textId="77777777" w:rsidTr="00334D6D">
        <w:tc>
          <w:tcPr>
            <w:tcW w:w="919" w:type="dxa"/>
          </w:tcPr>
          <w:p w14:paraId="694E748A" w14:textId="77777777" w:rsidR="00334D6D" w:rsidRPr="00B55DDC" w:rsidRDefault="005D3A0C" w:rsidP="00846DCD">
            <w:pPr>
              <w:pStyle w:val="Geenafstand"/>
            </w:pPr>
            <w:r>
              <w:t>h</w:t>
            </w:r>
          </w:p>
        </w:tc>
        <w:tc>
          <w:tcPr>
            <w:tcW w:w="6306" w:type="dxa"/>
          </w:tcPr>
          <w:p w14:paraId="01D9BB90" w14:textId="77777777" w:rsidR="00334D6D" w:rsidRPr="00EA7268" w:rsidRDefault="00334D6D" w:rsidP="00846DCD">
            <w:pPr>
              <w:pStyle w:val="Geenafstand"/>
              <w:rPr>
                <w:lang w:val="en-US"/>
              </w:rPr>
            </w:pPr>
            <w:r w:rsidRPr="00EA7268">
              <w:rPr>
                <w:lang w:val="en-US"/>
              </w:rPr>
              <w:t>If quantified, direct GHG removals, in tones of CO2e</w:t>
            </w:r>
          </w:p>
        </w:tc>
        <w:tc>
          <w:tcPr>
            <w:tcW w:w="1842" w:type="dxa"/>
          </w:tcPr>
          <w:p w14:paraId="18FD263B" w14:textId="77777777" w:rsidR="00334D6D" w:rsidRPr="00B55DDC" w:rsidRDefault="005D3A0C" w:rsidP="00846DCD">
            <w:pPr>
              <w:pStyle w:val="Geenafstand"/>
            </w:pPr>
            <w:r>
              <w:t>6</w:t>
            </w:r>
          </w:p>
        </w:tc>
      </w:tr>
      <w:tr w:rsidR="00334D6D" w:rsidRPr="00B55DDC" w14:paraId="6F8C7203" w14:textId="77777777" w:rsidTr="00334D6D">
        <w:tc>
          <w:tcPr>
            <w:tcW w:w="919" w:type="dxa"/>
          </w:tcPr>
          <w:p w14:paraId="060460A5" w14:textId="77777777" w:rsidR="00334D6D" w:rsidRPr="00B55DDC" w:rsidRDefault="005D3A0C" w:rsidP="00846DCD">
            <w:pPr>
              <w:pStyle w:val="Geenafstand"/>
            </w:pPr>
            <w:r>
              <w:t>i</w:t>
            </w:r>
          </w:p>
        </w:tc>
        <w:tc>
          <w:tcPr>
            <w:tcW w:w="6306" w:type="dxa"/>
          </w:tcPr>
          <w:p w14:paraId="70FC5907" w14:textId="77777777" w:rsidR="00334D6D" w:rsidRPr="00FF7BF1" w:rsidRDefault="00334D6D" w:rsidP="00846DCD">
            <w:pPr>
              <w:pStyle w:val="Geenafstand"/>
              <w:rPr>
                <w:lang w:val="en-US"/>
              </w:rPr>
            </w:pPr>
            <w:r w:rsidRPr="00EA7268">
              <w:rPr>
                <w:lang w:val="en-US"/>
              </w:rPr>
              <w:t>Explanation of the exclusion of any significant GHG sources or sinks from the quantification</w:t>
            </w:r>
          </w:p>
        </w:tc>
        <w:tc>
          <w:tcPr>
            <w:tcW w:w="1842" w:type="dxa"/>
          </w:tcPr>
          <w:p w14:paraId="1BF05F80" w14:textId="77777777" w:rsidR="00334D6D" w:rsidRPr="00B55DDC" w:rsidRDefault="005D3A0C" w:rsidP="00846DCD">
            <w:pPr>
              <w:pStyle w:val="Geenafstand"/>
            </w:pPr>
            <w:r>
              <w:t>6</w:t>
            </w:r>
          </w:p>
        </w:tc>
      </w:tr>
      <w:tr w:rsidR="00334D6D" w:rsidRPr="00B55DDC" w14:paraId="3C2896E0" w14:textId="77777777" w:rsidTr="00334D6D">
        <w:tc>
          <w:tcPr>
            <w:tcW w:w="919" w:type="dxa"/>
          </w:tcPr>
          <w:p w14:paraId="79FEC5FC" w14:textId="77777777" w:rsidR="00334D6D" w:rsidRPr="00B55DDC" w:rsidRDefault="005D3A0C" w:rsidP="00846DCD">
            <w:pPr>
              <w:pStyle w:val="Geenafstand"/>
            </w:pPr>
            <w:r>
              <w:t>j</w:t>
            </w:r>
          </w:p>
        </w:tc>
        <w:tc>
          <w:tcPr>
            <w:tcW w:w="6306" w:type="dxa"/>
          </w:tcPr>
          <w:p w14:paraId="3DFE6024" w14:textId="77777777" w:rsidR="00334D6D" w:rsidRPr="00EA7268" w:rsidRDefault="00334D6D" w:rsidP="00846DCD">
            <w:pPr>
              <w:pStyle w:val="Geenafstand"/>
              <w:rPr>
                <w:lang w:val="en-US"/>
              </w:rPr>
            </w:pPr>
            <w:r w:rsidRPr="00EA7268">
              <w:rPr>
                <w:lang w:val="en-US"/>
              </w:rPr>
              <w:t>Quantified indirect GHG emissions separated by category in tonnes of CO2e</w:t>
            </w:r>
          </w:p>
        </w:tc>
        <w:tc>
          <w:tcPr>
            <w:tcW w:w="1842" w:type="dxa"/>
          </w:tcPr>
          <w:p w14:paraId="62BB07D6" w14:textId="77777777" w:rsidR="00334D6D" w:rsidRPr="00B55DDC" w:rsidRDefault="005D3A0C" w:rsidP="00846DCD">
            <w:pPr>
              <w:pStyle w:val="Geenafstand"/>
            </w:pPr>
            <w:r>
              <w:t>6</w:t>
            </w:r>
          </w:p>
        </w:tc>
      </w:tr>
      <w:tr w:rsidR="00334D6D" w:rsidRPr="00B55DDC" w14:paraId="42FDA974" w14:textId="77777777" w:rsidTr="00334D6D">
        <w:tc>
          <w:tcPr>
            <w:tcW w:w="919" w:type="dxa"/>
          </w:tcPr>
          <w:p w14:paraId="7C30EC0F" w14:textId="77777777" w:rsidR="00334D6D" w:rsidRPr="00B55DDC" w:rsidRDefault="005D3A0C" w:rsidP="00846DCD">
            <w:pPr>
              <w:pStyle w:val="Geenafstand"/>
            </w:pPr>
            <w:r>
              <w:t>k</w:t>
            </w:r>
          </w:p>
        </w:tc>
        <w:tc>
          <w:tcPr>
            <w:tcW w:w="6306" w:type="dxa"/>
          </w:tcPr>
          <w:p w14:paraId="7BDCEFBC" w14:textId="77777777" w:rsidR="00334D6D" w:rsidRPr="00EA7268" w:rsidRDefault="00334D6D" w:rsidP="00846DCD">
            <w:pPr>
              <w:pStyle w:val="Geenafstand"/>
              <w:rPr>
                <w:lang w:val="en-US"/>
              </w:rPr>
            </w:pPr>
            <w:r w:rsidRPr="00EA7268">
              <w:rPr>
                <w:lang w:val="en-US"/>
              </w:rPr>
              <w:t>The historical base selected and the base-year GHG inventory</w:t>
            </w:r>
          </w:p>
        </w:tc>
        <w:tc>
          <w:tcPr>
            <w:tcW w:w="1842" w:type="dxa"/>
          </w:tcPr>
          <w:p w14:paraId="65E5FBE7" w14:textId="77777777" w:rsidR="00334D6D" w:rsidRPr="00B55DDC" w:rsidRDefault="005D3A0C" w:rsidP="00846DCD">
            <w:pPr>
              <w:pStyle w:val="Geenafstand"/>
            </w:pPr>
            <w:r>
              <w:t>4</w:t>
            </w:r>
          </w:p>
        </w:tc>
      </w:tr>
      <w:tr w:rsidR="00334D6D" w:rsidRPr="00B55DDC" w14:paraId="375FCA5E" w14:textId="77777777" w:rsidTr="00334D6D">
        <w:tc>
          <w:tcPr>
            <w:tcW w:w="919" w:type="dxa"/>
          </w:tcPr>
          <w:p w14:paraId="185AAD7F" w14:textId="77777777" w:rsidR="00334D6D" w:rsidRPr="00B55DDC" w:rsidRDefault="005D3A0C" w:rsidP="00846DCD">
            <w:pPr>
              <w:pStyle w:val="Geenafstand"/>
            </w:pPr>
            <w:r>
              <w:t>l</w:t>
            </w:r>
          </w:p>
        </w:tc>
        <w:tc>
          <w:tcPr>
            <w:tcW w:w="6306" w:type="dxa"/>
          </w:tcPr>
          <w:p w14:paraId="69BE9941" w14:textId="77777777" w:rsidR="00334D6D" w:rsidRPr="00EA7268" w:rsidRDefault="00334D6D" w:rsidP="00846DCD">
            <w:pPr>
              <w:pStyle w:val="Geenafstand"/>
              <w:rPr>
                <w:lang w:val="en-US"/>
              </w:rPr>
            </w:pPr>
            <w:r w:rsidRPr="00EA7268">
              <w:rPr>
                <w:lang w:val="en-US"/>
              </w:rPr>
              <w:t>Explanation of any change to the base year or other historical GHG data or categorization and any recalculation of the base year or other historical GHG inventory and documentation of any limitations to comparability resulting from such recalculation</w:t>
            </w:r>
          </w:p>
        </w:tc>
        <w:tc>
          <w:tcPr>
            <w:tcW w:w="1842" w:type="dxa"/>
          </w:tcPr>
          <w:p w14:paraId="500A54B0" w14:textId="77777777" w:rsidR="00334D6D" w:rsidRPr="00B55DDC" w:rsidRDefault="005D3A0C" w:rsidP="00846DCD">
            <w:pPr>
              <w:pStyle w:val="Geenafstand"/>
            </w:pPr>
            <w:r>
              <w:t>4</w:t>
            </w:r>
          </w:p>
        </w:tc>
      </w:tr>
      <w:tr w:rsidR="00334D6D" w:rsidRPr="00B55DDC" w14:paraId="78C98505" w14:textId="77777777" w:rsidTr="00334D6D">
        <w:tc>
          <w:tcPr>
            <w:tcW w:w="919" w:type="dxa"/>
          </w:tcPr>
          <w:p w14:paraId="70E3373C" w14:textId="77777777" w:rsidR="00334D6D" w:rsidRPr="00B55DDC" w:rsidRDefault="005D3A0C" w:rsidP="00846DCD">
            <w:pPr>
              <w:pStyle w:val="Geenafstand"/>
            </w:pPr>
            <w:r>
              <w:t>m</w:t>
            </w:r>
          </w:p>
        </w:tc>
        <w:tc>
          <w:tcPr>
            <w:tcW w:w="6306" w:type="dxa"/>
          </w:tcPr>
          <w:p w14:paraId="57CAF6C0" w14:textId="77777777" w:rsidR="00334D6D" w:rsidRPr="00EA7268" w:rsidRDefault="00334D6D" w:rsidP="00846DCD">
            <w:pPr>
              <w:pStyle w:val="Geenafstand"/>
              <w:rPr>
                <w:lang w:val="en-US"/>
              </w:rPr>
            </w:pPr>
            <w:r w:rsidRPr="00EA7268">
              <w:rPr>
                <w:lang w:val="en-US"/>
              </w:rPr>
              <w:t>Reference to, or description of, quantification approaches, including reasons for their selection</w:t>
            </w:r>
          </w:p>
        </w:tc>
        <w:tc>
          <w:tcPr>
            <w:tcW w:w="1842" w:type="dxa"/>
          </w:tcPr>
          <w:p w14:paraId="20690AA1" w14:textId="77777777" w:rsidR="00334D6D" w:rsidRPr="00B55DDC" w:rsidRDefault="005D3A0C" w:rsidP="00846DCD">
            <w:pPr>
              <w:pStyle w:val="Geenafstand"/>
            </w:pPr>
            <w:r>
              <w:t>8</w:t>
            </w:r>
          </w:p>
        </w:tc>
      </w:tr>
      <w:tr w:rsidR="00334D6D" w:rsidRPr="00B55DDC" w14:paraId="50338169" w14:textId="77777777" w:rsidTr="00334D6D">
        <w:tc>
          <w:tcPr>
            <w:tcW w:w="919" w:type="dxa"/>
          </w:tcPr>
          <w:p w14:paraId="66011C68" w14:textId="77777777" w:rsidR="00334D6D" w:rsidRPr="00B55DDC" w:rsidRDefault="005D3A0C" w:rsidP="00846DCD">
            <w:pPr>
              <w:pStyle w:val="Geenafstand"/>
            </w:pPr>
            <w:r>
              <w:t>n</w:t>
            </w:r>
          </w:p>
        </w:tc>
        <w:tc>
          <w:tcPr>
            <w:tcW w:w="6306" w:type="dxa"/>
          </w:tcPr>
          <w:p w14:paraId="53ABAAE8" w14:textId="77777777" w:rsidR="00334D6D" w:rsidRPr="00EA7268" w:rsidRDefault="00334D6D" w:rsidP="00846DCD">
            <w:pPr>
              <w:pStyle w:val="Geenafstand"/>
              <w:rPr>
                <w:lang w:val="en-US"/>
              </w:rPr>
            </w:pPr>
            <w:r w:rsidRPr="00EA7268">
              <w:rPr>
                <w:lang w:val="en-US"/>
              </w:rPr>
              <w:t>Explanation of any change to quantification approaches previously used</w:t>
            </w:r>
          </w:p>
        </w:tc>
        <w:tc>
          <w:tcPr>
            <w:tcW w:w="1842" w:type="dxa"/>
          </w:tcPr>
          <w:p w14:paraId="7BC85A0C" w14:textId="77777777" w:rsidR="00334D6D" w:rsidRPr="00B55DDC" w:rsidRDefault="005D3A0C" w:rsidP="00846DCD">
            <w:pPr>
              <w:pStyle w:val="Geenafstand"/>
            </w:pPr>
            <w:r>
              <w:t>8</w:t>
            </w:r>
          </w:p>
        </w:tc>
      </w:tr>
      <w:tr w:rsidR="00334D6D" w:rsidRPr="00B55DDC" w14:paraId="6B76DA8F" w14:textId="77777777" w:rsidTr="00334D6D">
        <w:tc>
          <w:tcPr>
            <w:tcW w:w="919" w:type="dxa"/>
          </w:tcPr>
          <w:p w14:paraId="62F86725" w14:textId="77777777" w:rsidR="00334D6D" w:rsidRPr="00B55DDC" w:rsidRDefault="005D3A0C" w:rsidP="00846DCD">
            <w:pPr>
              <w:pStyle w:val="Geenafstand"/>
            </w:pPr>
            <w:r>
              <w:t>o</w:t>
            </w:r>
          </w:p>
        </w:tc>
        <w:tc>
          <w:tcPr>
            <w:tcW w:w="6306" w:type="dxa"/>
          </w:tcPr>
          <w:p w14:paraId="6E99D3A6" w14:textId="77777777" w:rsidR="00334D6D" w:rsidRPr="00FF7BF1" w:rsidRDefault="00334D6D" w:rsidP="00846DCD">
            <w:pPr>
              <w:pStyle w:val="Geenafstand"/>
              <w:rPr>
                <w:lang w:val="en-US"/>
              </w:rPr>
            </w:pPr>
            <w:r w:rsidRPr="00EA7268">
              <w:rPr>
                <w:lang w:val="en-US"/>
              </w:rPr>
              <w:t>Reference to, or documentation of, GHG emission or removal factors used</w:t>
            </w:r>
          </w:p>
        </w:tc>
        <w:tc>
          <w:tcPr>
            <w:tcW w:w="1842" w:type="dxa"/>
          </w:tcPr>
          <w:p w14:paraId="1E598603" w14:textId="77777777" w:rsidR="00334D6D" w:rsidRPr="00B55DDC" w:rsidRDefault="005D3A0C" w:rsidP="00846DCD">
            <w:pPr>
              <w:pStyle w:val="Geenafstand"/>
            </w:pPr>
            <w:r>
              <w:t>8</w:t>
            </w:r>
          </w:p>
        </w:tc>
      </w:tr>
      <w:tr w:rsidR="00334D6D" w:rsidRPr="00B55DDC" w14:paraId="0D4E5162" w14:textId="77777777" w:rsidTr="00334D6D">
        <w:tc>
          <w:tcPr>
            <w:tcW w:w="919" w:type="dxa"/>
          </w:tcPr>
          <w:p w14:paraId="49AB8600" w14:textId="77777777" w:rsidR="00334D6D" w:rsidRPr="00B55DDC" w:rsidRDefault="005D3A0C" w:rsidP="00846DCD">
            <w:pPr>
              <w:pStyle w:val="Geenafstand"/>
            </w:pPr>
            <w:r>
              <w:t>p</w:t>
            </w:r>
          </w:p>
        </w:tc>
        <w:tc>
          <w:tcPr>
            <w:tcW w:w="6306" w:type="dxa"/>
          </w:tcPr>
          <w:p w14:paraId="54409720" w14:textId="77777777" w:rsidR="00334D6D" w:rsidRPr="00EA7268" w:rsidRDefault="00334D6D" w:rsidP="00846DCD">
            <w:pPr>
              <w:pStyle w:val="Geenafstand"/>
              <w:rPr>
                <w:lang w:val="en-US"/>
              </w:rPr>
            </w:pPr>
            <w:r w:rsidRPr="00EA7268">
              <w:rPr>
                <w:lang w:val="en-US"/>
              </w:rPr>
              <w:t>Description of the impact of uncertainties on the accuracy of the GHG emissions and removals data per category</w:t>
            </w:r>
          </w:p>
        </w:tc>
        <w:tc>
          <w:tcPr>
            <w:tcW w:w="1842" w:type="dxa"/>
          </w:tcPr>
          <w:p w14:paraId="4CF27A65" w14:textId="77777777" w:rsidR="00334D6D" w:rsidRPr="00B55DDC" w:rsidRDefault="00334D6D" w:rsidP="00846DCD">
            <w:pPr>
              <w:pStyle w:val="Geenafstand"/>
            </w:pPr>
            <w:r w:rsidRPr="00B55DDC">
              <w:t>9</w:t>
            </w:r>
          </w:p>
        </w:tc>
      </w:tr>
      <w:tr w:rsidR="00334D6D" w:rsidRPr="00B55DDC" w14:paraId="4FBB1BC0" w14:textId="77777777" w:rsidTr="00334D6D">
        <w:tc>
          <w:tcPr>
            <w:tcW w:w="919" w:type="dxa"/>
          </w:tcPr>
          <w:p w14:paraId="1094C42B" w14:textId="77777777" w:rsidR="00334D6D" w:rsidRDefault="005D3A0C" w:rsidP="00846DCD">
            <w:pPr>
              <w:pStyle w:val="Geenafstand"/>
            </w:pPr>
            <w:r>
              <w:t>q</w:t>
            </w:r>
          </w:p>
        </w:tc>
        <w:tc>
          <w:tcPr>
            <w:tcW w:w="6306" w:type="dxa"/>
          </w:tcPr>
          <w:p w14:paraId="36365580" w14:textId="77777777" w:rsidR="00334D6D" w:rsidRPr="00EA7268" w:rsidRDefault="00334D6D" w:rsidP="00846DCD">
            <w:pPr>
              <w:pStyle w:val="Geenafstand"/>
              <w:rPr>
                <w:lang w:val="en-US"/>
              </w:rPr>
            </w:pPr>
            <w:r w:rsidRPr="00EA7268">
              <w:rPr>
                <w:lang w:val="en-US"/>
              </w:rPr>
              <w:t>Uncertainty assessment description and results</w:t>
            </w:r>
          </w:p>
        </w:tc>
        <w:tc>
          <w:tcPr>
            <w:tcW w:w="1842" w:type="dxa"/>
          </w:tcPr>
          <w:p w14:paraId="5D7AEBF6" w14:textId="77777777" w:rsidR="00334D6D" w:rsidRPr="00B55DDC" w:rsidRDefault="005D3A0C" w:rsidP="00846DCD">
            <w:pPr>
              <w:pStyle w:val="Geenafstand"/>
            </w:pPr>
            <w:r>
              <w:t>9</w:t>
            </w:r>
          </w:p>
        </w:tc>
      </w:tr>
      <w:tr w:rsidR="00334D6D" w:rsidRPr="00B55DDC" w14:paraId="419F0446" w14:textId="77777777" w:rsidTr="00334D6D">
        <w:trPr>
          <w:trHeight w:val="77"/>
        </w:trPr>
        <w:tc>
          <w:tcPr>
            <w:tcW w:w="919" w:type="dxa"/>
          </w:tcPr>
          <w:p w14:paraId="5824775B" w14:textId="77777777" w:rsidR="00334D6D" w:rsidRPr="00B55DDC" w:rsidRDefault="005D3A0C" w:rsidP="00846DCD">
            <w:pPr>
              <w:pStyle w:val="Geenafstand"/>
            </w:pPr>
            <w:r>
              <w:t>r</w:t>
            </w:r>
          </w:p>
        </w:tc>
        <w:tc>
          <w:tcPr>
            <w:tcW w:w="6306" w:type="dxa"/>
          </w:tcPr>
          <w:p w14:paraId="0A03B966" w14:textId="77777777" w:rsidR="00334D6D" w:rsidRPr="00FF7BF1" w:rsidRDefault="00334D6D" w:rsidP="00846DCD">
            <w:pPr>
              <w:pStyle w:val="Geenafstand"/>
              <w:rPr>
                <w:lang w:val="en-US"/>
              </w:rPr>
            </w:pPr>
            <w:r w:rsidRPr="00EA7268">
              <w:rPr>
                <w:lang w:val="en-US"/>
              </w:rPr>
              <w:t>A statement that the GHG report has be</w:t>
            </w:r>
            <w:r w:rsidR="000E6AAB" w:rsidRPr="00EA7268">
              <w:rPr>
                <w:lang w:val="en-US"/>
              </w:rPr>
              <w:t>en prepared in accordance with ISO 14064</w:t>
            </w:r>
            <w:r w:rsidR="001F33CC" w:rsidRPr="00EA7268">
              <w:rPr>
                <w:lang w:val="en-US"/>
              </w:rPr>
              <w:t>-1</w:t>
            </w:r>
            <w:r w:rsidR="000E6AAB" w:rsidRPr="00EA7268">
              <w:rPr>
                <w:lang w:val="en-US"/>
              </w:rPr>
              <w:t>:2018</w:t>
            </w:r>
          </w:p>
        </w:tc>
        <w:tc>
          <w:tcPr>
            <w:tcW w:w="1842" w:type="dxa"/>
          </w:tcPr>
          <w:p w14:paraId="4BEC41A4" w14:textId="77777777" w:rsidR="00334D6D" w:rsidRPr="00B55DDC" w:rsidRDefault="00334D6D" w:rsidP="00846DCD">
            <w:pPr>
              <w:pStyle w:val="Geenafstand"/>
            </w:pPr>
            <w:r w:rsidRPr="00B55DDC">
              <w:t>10</w:t>
            </w:r>
          </w:p>
        </w:tc>
      </w:tr>
      <w:tr w:rsidR="00334D6D" w:rsidRPr="00B55DDC" w14:paraId="1BB7E0CC" w14:textId="77777777" w:rsidTr="00334D6D">
        <w:trPr>
          <w:trHeight w:val="77"/>
        </w:trPr>
        <w:tc>
          <w:tcPr>
            <w:tcW w:w="919" w:type="dxa"/>
          </w:tcPr>
          <w:p w14:paraId="0C73C727" w14:textId="77777777" w:rsidR="00334D6D" w:rsidRPr="00B55DDC" w:rsidRDefault="005D3A0C" w:rsidP="00846DCD">
            <w:pPr>
              <w:pStyle w:val="Geenafstand"/>
            </w:pPr>
            <w:r>
              <w:lastRenderedPageBreak/>
              <w:t>s</w:t>
            </w:r>
          </w:p>
        </w:tc>
        <w:tc>
          <w:tcPr>
            <w:tcW w:w="6306" w:type="dxa"/>
          </w:tcPr>
          <w:p w14:paraId="50ABCEDA" w14:textId="77777777" w:rsidR="00334D6D" w:rsidRPr="00EA7268" w:rsidRDefault="00334D6D" w:rsidP="00846DCD">
            <w:pPr>
              <w:pStyle w:val="Geenafstand"/>
              <w:rPr>
                <w:lang w:val="en-US"/>
              </w:rPr>
            </w:pPr>
            <w:r w:rsidRPr="00EA7268">
              <w:rPr>
                <w:lang w:val="en-US"/>
              </w:rPr>
              <w:t>A disclosure describing whether the GHG inventory, report or statement has been verified, including the type of verification and the level of assurance achieved</w:t>
            </w:r>
          </w:p>
        </w:tc>
        <w:tc>
          <w:tcPr>
            <w:tcW w:w="1842" w:type="dxa"/>
          </w:tcPr>
          <w:p w14:paraId="6A2B5710" w14:textId="77777777" w:rsidR="00334D6D" w:rsidRPr="00B55DDC" w:rsidRDefault="005D3A0C" w:rsidP="00846DCD">
            <w:pPr>
              <w:pStyle w:val="Geenafstand"/>
            </w:pPr>
            <w:r>
              <w:t>6</w:t>
            </w:r>
          </w:p>
        </w:tc>
      </w:tr>
      <w:tr w:rsidR="00334D6D" w:rsidRPr="00B55DDC" w14:paraId="2A4EDE2B" w14:textId="77777777" w:rsidTr="00334D6D">
        <w:trPr>
          <w:trHeight w:val="77"/>
        </w:trPr>
        <w:tc>
          <w:tcPr>
            <w:tcW w:w="919" w:type="dxa"/>
          </w:tcPr>
          <w:p w14:paraId="7837BFBB" w14:textId="77777777" w:rsidR="00334D6D" w:rsidRDefault="005D3A0C" w:rsidP="00846DCD">
            <w:pPr>
              <w:pStyle w:val="Geenafstand"/>
            </w:pPr>
            <w:r>
              <w:t>t</w:t>
            </w:r>
          </w:p>
        </w:tc>
        <w:tc>
          <w:tcPr>
            <w:tcW w:w="6306" w:type="dxa"/>
          </w:tcPr>
          <w:p w14:paraId="0DC37008" w14:textId="77777777" w:rsidR="00334D6D" w:rsidRPr="00EA7268" w:rsidRDefault="00334D6D" w:rsidP="00846DCD">
            <w:pPr>
              <w:pStyle w:val="Geenafstand"/>
              <w:rPr>
                <w:lang w:val="en-US"/>
              </w:rPr>
            </w:pPr>
            <w:r w:rsidRPr="00EA7268">
              <w:rPr>
                <w:lang w:val="en-US"/>
              </w:rPr>
              <w:t>The GWP values used in the calculation, as well as their source. If the GWP values are not taken from the latest IPCC report, include the emission factors or the database reference used in the calculation, as well as their source.</w:t>
            </w:r>
          </w:p>
        </w:tc>
        <w:tc>
          <w:tcPr>
            <w:tcW w:w="1842" w:type="dxa"/>
          </w:tcPr>
          <w:p w14:paraId="1DADA991" w14:textId="77777777" w:rsidR="00334D6D" w:rsidRPr="00B55DDC" w:rsidRDefault="005D3A0C" w:rsidP="00846DCD">
            <w:pPr>
              <w:pStyle w:val="Geenafstand"/>
            </w:pPr>
            <w:r>
              <w:t>8</w:t>
            </w:r>
          </w:p>
        </w:tc>
      </w:tr>
    </w:tbl>
    <w:p w14:paraId="2EADDDD5" w14:textId="77777777" w:rsidR="00846DCD" w:rsidRPr="00AA6E37" w:rsidRDefault="00846DCD" w:rsidP="00846DCD">
      <w:pPr>
        <w:pStyle w:val="Geenafstand"/>
      </w:pPr>
    </w:p>
    <w:sectPr w:rsidR="00846DCD" w:rsidRPr="00AA6E3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2B59" w14:textId="77777777" w:rsidR="000F2E4B" w:rsidRDefault="000F2E4B" w:rsidP="00AA6E37">
      <w:pPr>
        <w:spacing w:after="0" w:line="240" w:lineRule="auto"/>
      </w:pPr>
      <w:r>
        <w:separator/>
      </w:r>
    </w:p>
  </w:endnote>
  <w:endnote w:type="continuationSeparator" w:id="0">
    <w:p w14:paraId="0AC2607C" w14:textId="77777777" w:rsidR="000F2E4B" w:rsidRDefault="000F2E4B" w:rsidP="00AA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955C" w14:textId="77777777" w:rsidR="00846DCD" w:rsidRDefault="00846DCD" w:rsidP="000E4570">
    <w:pPr>
      <w:pStyle w:val="Voettekst"/>
      <w:ind w:left="3252" w:firstLine="3828"/>
      <w:jc w:val="right"/>
    </w:pPr>
    <w:r>
      <w:rPr>
        <w:noProof/>
        <w:lang w:eastAsia="nl-NL"/>
      </w:rPr>
      <w:drawing>
        <wp:anchor distT="0" distB="0" distL="114300" distR="114300" simplePos="0" relativeHeight="251659264" behindDoc="0" locked="0" layoutInCell="1" allowOverlap="1" wp14:anchorId="1C2FDED1" wp14:editId="7383AFF8">
          <wp:simplePos x="0" y="0"/>
          <wp:positionH relativeFrom="margin">
            <wp:posOffset>-600075</wp:posOffset>
          </wp:positionH>
          <wp:positionV relativeFrom="paragraph">
            <wp:posOffset>-38100</wp:posOffset>
          </wp:positionV>
          <wp:extent cx="2159635" cy="467995"/>
          <wp:effectExtent l="0" t="0" r="0" b="8255"/>
          <wp:wrapNone/>
          <wp:docPr id="1" name="Afbeelding 1" descr="C:\Users\iklaarenbeek\AppData\Local\Microsoft\Windows\INetCache\Content.Word\PNG - Cumela logo zonder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laarenbeek\AppData\Local\Microsoft\Windows\INetCache\Content.Word\PNG - Cumela logo zonder 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3CF">
      <w:t>©Cumela Advies</w:t>
    </w:r>
    <w:r>
      <w:rPr>
        <w:noProof/>
        <w:lang w:eastAsia="nl-NL"/>
      </w:rPr>
      <w:t xml:space="preserve"> </w:t>
    </w:r>
    <w:r w:rsidRPr="00BD501B">
      <w:rPr>
        <w:noProof/>
        <w:lang w:eastAsia="nl-NL"/>
      </w:rPr>
      <w:drawing>
        <wp:anchor distT="0" distB="0" distL="114300" distR="114300" simplePos="0" relativeHeight="251660288" behindDoc="1" locked="0" layoutInCell="1" allowOverlap="1" wp14:anchorId="1E02B834" wp14:editId="69616726">
          <wp:simplePos x="0" y="0"/>
          <wp:positionH relativeFrom="margin">
            <wp:posOffset>1409700</wp:posOffset>
          </wp:positionH>
          <wp:positionV relativeFrom="paragraph">
            <wp:posOffset>-4263390</wp:posOffset>
          </wp:positionV>
          <wp:extent cx="4869618" cy="4764808"/>
          <wp:effectExtent l="0" t="0" r="7620" b="0"/>
          <wp:wrapNone/>
          <wp:docPr id="4" name="Afbeelding 4" descr="C:\Users\iklaarenbeek\AppData\Local\Microsoft\Windows\INetCache\Content.Word\Wiel uit briefpapie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klaarenbeek\AppData\Local\Microsoft\Windows\INetCache\Content.Word\Wiel uit briefpapier-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9618" cy="476480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77BAB9C" w14:textId="77777777" w:rsidR="00846DCD" w:rsidRPr="00B64E10" w:rsidRDefault="00846DCD" w:rsidP="000E4570">
    <w:pPr>
      <w:pStyle w:val="Voettekst"/>
      <w:ind w:left="3252" w:firstLine="3828"/>
      <w:jc w:val="right"/>
    </w:pPr>
    <w:r w:rsidRPr="00B64E10">
      <w:t xml:space="preserve">Pagina </w:t>
    </w:r>
    <w:r w:rsidRPr="00B64E10">
      <w:rPr>
        <w:bCs/>
      </w:rPr>
      <w:fldChar w:fldCharType="begin"/>
    </w:r>
    <w:r w:rsidRPr="00B64E10">
      <w:rPr>
        <w:bCs/>
      </w:rPr>
      <w:instrText>PAGE  \* Arabic  \* MERGEFORMAT</w:instrText>
    </w:r>
    <w:r w:rsidRPr="00B64E10">
      <w:rPr>
        <w:bCs/>
      </w:rPr>
      <w:fldChar w:fldCharType="separate"/>
    </w:r>
    <w:r w:rsidR="00EA7268">
      <w:rPr>
        <w:bCs/>
        <w:noProof/>
      </w:rPr>
      <w:t>3</w:t>
    </w:r>
    <w:r w:rsidRPr="00B64E10">
      <w:rPr>
        <w:bCs/>
      </w:rPr>
      <w:fldChar w:fldCharType="end"/>
    </w:r>
    <w:r w:rsidRPr="00B64E10">
      <w:t xml:space="preserve"> van </w:t>
    </w:r>
    <w:r w:rsidRPr="00B64E10">
      <w:rPr>
        <w:bCs/>
      </w:rPr>
      <w:fldChar w:fldCharType="begin"/>
    </w:r>
    <w:r w:rsidRPr="00B64E10">
      <w:rPr>
        <w:bCs/>
      </w:rPr>
      <w:instrText>NUMPAGES  \* Arabic  \* MERGEFORMAT</w:instrText>
    </w:r>
    <w:r w:rsidRPr="00B64E10">
      <w:rPr>
        <w:bCs/>
      </w:rPr>
      <w:fldChar w:fldCharType="separate"/>
    </w:r>
    <w:r w:rsidR="00EA7268">
      <w:rPr>
        <w:bCs/>
        <w:noProof/>
      </w:rPr>
      <w:t>6</w:t>
    </w:r>
    <w:r w:rsidRPr="00B64E10">
      <w:rPr>
        <w:bCs/>
      </w:rPr>
      <w:fldChar w:fldCharType="end"/>
    </w:r>
  </w:p>
  <w:p w14:paraId="3E735A8F" w14:textId="04993A3F" w:rsidR="00846DCD" w:rsidRDefault="00846DCD" w:rsidP="000E4570">
    <w:pPr>
      <w:pStyle w:val="Voettekst"/>
      <w:ind w:left="3252"/>
      <w:jc w:val="right"/>
    </w:pPr>
    <w:r>
      <w:rPr>
        <w:b/>
      </w:rPr>
      <w:tab/>
    </w:r>
    <w:r>
      <w:tab/>
    </w:r>
    <w:r w:rsidR="00C043CC">
      <w:t>September</w:t>
    </w:r>
    <w:r w:rsidR="00A06784">
      <w:t xml:space="preserve"> 202</w:t>
    </w:r>
    <w:r w:rsidR="00101FAE">
      <w:t>3</w:t>
    </w:r>
  </w:p>
  <w:p w14:paraId="6A660673" w14:textId="77777777" w:rsidR="00846DCD" w:rsidRDefault="00846D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084D" w14:textId="77777777" w:rsidR="000F2E4B" w:rsidRDefault="000F2E4B" w:rsidP="00AA6E37">
      <w:pPr>
        <w:spacing w:after="0" w:line="240" w:lineRule="auto"/>
      </w:pPr>
      <w:r>
        <w:separator/>
      </w:r>
    </w:p>
  </w:footnote>
  <w:footnote w:type="continuationSeparator" w:id="0">
    <w:p w14:paraId="6FFB17E8" w14:textId="77777777" w:rsidR="000F2E4B" w:rsidRDefault="000F2E4B" w:rsidP="00AA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BE31" w14:textId="2AEF7626" w:rsidR="00AA6E37" w:rsidRPr="004713CF" w:rsidRDefault="00492563" w:rsidP="00134CA2">
    <w:pPr>
      <w:pStyle w:val="Koptekst"/>
      <w:rPr>
        <w:sz w:val="28"/>
        <w:szCs w:val="28"/>
      </w:rPr>
    </w:pPr>
    <w:sdt>
      <w:sdtPr>
        <w:rPr>
          <w:b/>
          <w:i/>
          <w:noProof/>
          <w:sz w:val="36"/>
          <w:szCs w:val="36"/>
          <w:lang w:eastAsia="nl-NL"/>
        </w:rPr>
        <w:alias w:val="Auteur"/>
        <w:tag w:val=""/>
        <w:id w:val="-807851449"/>
        <w:placeholder>
          <w:docPart w:val="7EF459EDAB9A411DA3F2947E9626A7EF"/>
        </w:placeholder>
        <w:dataBinding w:prefixMappings="xmlns:ns0='http://purl.org/dc/elements/1.1/' xmlns:ns1='http://schemas.openxmlformats.org/package/2006/metadata/core-properties' " w:xpath="/ns1:coreProperties[1]/ns0:creator[1]" w:storeItemID="{6C3C8BC8-F283-45AE-878A-BAB7291924A1}"/>
        <w:text/>
      </w:sdtPr>
      <w:sdtEndPr/>
      <w:sdtContent>
        <w:r w:rsidR="00A06784">
          <w:rPr>
            <w:b/>
            <w:i/>
            <w:noProof/>
            <w:sz w:val="36"/>
            <w:szCs w:val="36"/>
            <w:lang w:eastAsia="nl-NL"/>
          </w:rPr>
          <w:t>W. &amp; E. van Kasteren B.V.</w:t>
        </w:r>
      </w:sdtContent>
    </w:sdt>
    <w:r w:rsidR="00AA6E37" w:rsidRPr="004713CF">
      <w:rPr>
        <w:b/>
        <w:sz w:val="28"/>
        <w:szCs w:val="28"/>
      </w:rPr>
      <w:t xml:space="preserve"> </w:t>
    </w:r>
    <w:r w:rsidR="00AA6E37">
      <w:rPr>
        <w:b/>
        <w:sz w:val="28"/>
        <w:szCs w:val="28"/>
      </w:rPr>
      <w:tab/>
    </w:r>
    <w:r w:rsidR="00AA6E37">
      <w:rPr>
        <w:b/>
        <w:sz w:val="28"/>
        <w:szCs w:val="28"/>
      </w:rPr>
      <w:tab/>
    </w:r>
    <w:r w:rsidR="00AA6E37" w:rsidRPr="00AA6E37">
      <w:rPr>
        <w:b/>
        <w:sz w:val="28"/>
        <w:szCs w:val="28"/>
      </w:rPr>
      <w:t>315.2 Emissie inventarisrapport</w:t>
    </w:r>
  </w:p>
  <w:p w14:paraId="7CCF3B4F" w14:textId="77777777" w:rsidR="00AA6E37" w:rsidRDefault="00AA6E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2BB2"/>
    <w:multiLevelType w:val="multilevel"/>
    <w:tmpl w:val="604A8F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FDB5465"/>
    <w:multiLevelType w:val="multilevel"/>
    <w:tmpl w:val="F4D67C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89864243">
    <w:abstractNumId w:val="0"/>
  </w:num>
  <w:num w:numId="2" w16cid:durableId="294262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37"/>
    <w:rsid w:val="00000FFC"/>
    <w:rsid w:val="00001B6A"/>
    <w:rsid w:val="00004212"/>
    <w:rsid w:val="00006C5A"/>
    <w:rsid w:val="00007A25"/>
    <w:rsid w:val="000109A7"/>
    <w:rsid w:val="000114F0"/>
    <w:rsid w:val="00013779"/>
    <w:rsid w:val="00016509"/>
    <w:rsid w:val="0001652D"/>
    <w:rsid w:val="00022C27"/>
    <w:rsid w:val="000258EC"/>
    <w:rsid w:val="000262B3"/>
    <w:rsid w:val="00026648"/>
    <w:rsid w:val="00026BFE"/>
    <w:rsid w:val="000312B2"/>
    <w:rsid w:val="00032061"/>
    <w:rsid w:val="00032F1F"/>
    <w:rsid w:val="000339D7"/>
    <w:rsid w:val="00034F48"/>
    <w:rsid w:val="00037FD7"/>
    <w:rsid w:val="0004027A"/>
    <w:rsid w:val="00042218"/>
    <w:rsid w:val="00042DFF"/>
    <w:rsid w:val="0004364D"/>
    <w:rsid w:val="00044CE1"/>
    <w:rsid w:val="00045BF5"/>
    <w:rsid w:val="00047AE8"/>
    <w:rsid w:val="00051706"/>
    <w:rsid w:val="000543B7"/>
    <w:rsid w:val="0006157F"/>
    <w:rsid w:val="00063BFA"/>
    <w:rsid w:val="0006607A"/>
    <w:rsid w:val="00070177"/>
    <w:rsid w:val="00081BE9"/>
    <w:rsid w:val="00084A79"/>
    <w:rsid w:val="000853C2"/>
    <w:rsid w:val="00093294"/>
    <w:rsid w:val="00094901"/>
    <w:rsid w:val="0009589D"/>
    <w:rsid w:val="000968EF"/>
    <w:rsid w:val="00097176"/>
    <w:rsid w:val="000A0CA4"/>
    <w:rsid w:val="000A3623"/>
    <w:rsid w:val="000A4813"/>
    <w:rsid w:val="000A4C3D"/>
    <w:rsid w:val="000A634D"/>
    <w:rsid w:val="000A6E57"/>
    <w:rsid w:val="000A79A9"/>
    <w:rsid w:val="000B0A47"/>
    <w:rsid w:val="000B0C90"/>
    <w:rsid w:val="000B1DBF"/>
    <w:rsid w:val="000B1ED5"/>
    <w:rsid w:val="000B21DF"/>
    <w:rsid w:val="000B31EB"/>
    <w:rsid w:val="000B53C7"/>
    <w:rsid w:val="000B6062"/>
    <w:rsid w:val="000B7902"/>
    <w:rsid w:val="000B7E1B"/>
    <w:rsid w:val="000C1380"/>
    <w:rsid w:val="000C66B0"/>
    <w:rsid w:val="000D2D8C"/>
    <w:rsid w:val="000D3849"/>
    <w:rsid w:val="000D38BD"/>
    <w:rsid w:val="000D60F8"/>
    <w:rsid w:val="000E0972"/>
    <w:rsid w:val="000E43D3"/>
    <w:rsid w:val="000E6AAB"/>
    <w:rsid w:val="000F07A0"/>
    <w:rsid w:val="000F10B5"/>
    <w:rsid w:val="000F2E4B"/>
    <w:rsid w:val="000F451B"/>
    <w:rsid w:val="000F4DF4"/>
    <w:rsid w:val="000F5957"/>
    <w:rsid w:val="00101AE2"/>
    <w:rsid w:val="00101FAE"/>
    <w:rsid w:val="00102341"/>
    <w:rsid w:val="00103F60"/>
    <w:rsid w:val="001040CC"/>
    <w:rsid w:val="001061D2"/>
    <w:rsid w:val="001065E0"/>
    <w:rsid w:val="001076C9"/>
    <w:rsid w:val="0011315B"/>
    <w:rsid w:val="00113474"/>
    <w:rsid w:val="00113A0E"/>
    <w:rsid w:val="001158A6"/>
    <w:rsid w:val="001165DB"/>
    <w:rsid w:val="001179BA"/>
    <w:rsid w:val="001213E9"/>
    <w:rsid w:val="00125839"/>
    <w:rsid w:val="0012673C"/>
    <w:rsid w:val="00127514"/>
    <w:rsid w:val="00127EA3"/>
    <w:rsid w:val="0013156F"/>
    <w:rsid w:val="001335E2"/>
    <w:rsid w:val="0013507C"/>
    <w:rsid w:val="0014090F"/>
    <w:rsid w:val="001413B5"/>
    <w:rsid w:val="00143D9A"/>
    <w:rsid w:val="00144473"/>
    <w:rsid w:val="0014527B"/>
    <w:rsid w:val="001452D1"/>
    <w:rsid w:val="00146FAC"/>
    <w:rsid w:val="00147BDA"/>
    <w:rsid w:val="0015608A"/>
    <w:rsid w:val="00157298"/>
    <w:rsid w:val="001573D6"/>
    <w:rsid w:val="001577C0"/>
    <w:rsid w:val="00157FFE"/>
    <w:rsid w:val="00161239"/>
    <w:rsid w:val="00162C2E"/>
    <w:rsid w:val="00165D04"/>
    <w:rsid w:val="001808F4"/>
    <w:rsid w:val="00193F9B"/>
    <w:rsid w:val="00195A23"/>
    <w:rsid w:val="001971F5"/>
    <w:rsid w:val="001A2EAE"/>
    <w:rsid w:val="001A414E"/>
    <w:rsid w:val="001A4405"/>
    <w:rsid w:val="001A4958"/>
    <w:rsid w:val="001A564D"/>
    <w:rsid w:val="001B2483"/>
    <w:rsid w:val="001B33D7"/>
    <w:rsid w:val="001B4B62"/>
    <w:rsid w:val="001B6639"/>
    <w:rsid w:val="001C1308"/>
    <w:rsid w:val="001C534D"/>
    <w:rsid w:val="001D0909"/>
    <w:rsid w:val="001D1070"/>
    <w:rsid w:val="001D5D2B"/>
    <w:rsid w:val="001D6425"/>
    <w:rsid w:val="001D6A83"/>
    <w:rsid w:val="001E22FE"/>
    <w:rsid w:val="001E252B"/>
    <w:rsid w:val="001E28AE"/>
    <w:rsid w:val="001E4796"/>
    <w:rsid w:val="001E4EE9"/>
    <w:rsid w:val="001E572B"/>
    <w:rsid w:val="001F0901"/>
    <w:rsid w:val="001F33CC"/>
    <w:rsid w:val="001F79A3"/>
    <w:rsid w:val="001F7D6F"/>
    <w:rsid w:val="002016E3"/>
    <w:rsid w:val="002059C4"/>
    <w:rsid w:val="00205A3B"/>
    <w:rsid w:val="0020706D"/>
    <w:rsid w:val="00213481"/>
    <w:rsid w:val="00214752"/>
    <w:rsid w:val="002200B1"/>
    <w:rsid w:val="0022026E"/>
    <w:rsid w:val="00225BED"/>
    <w:rsid w:val="002276AB"/>
    <w:rsid w:val="0023763A"/>
    <w:rsid w:val="00242E7C"/>
    <w:rsid w:val="00245871"/>
    <w:rsid w:val="00245949"/>
    <w:rsid w:val="0025221B"/>
    <w:rsid w:val="002527D9"/>
    <w:rsid w:val="00256C38"/>
    <w:rsid w:val="00263AF6"/>
    <w:rsid w:val="00263E59"/>
    <w:rsid w:val="0026799F"/>
    <w:rsid w:val="0027121A"/>
    <w:rsid w:val="002730B4"/>
    <w:rsid w:val="00275ECF"/>
    <w:rsid w:val="002767C9"/>
    <w:rsid w:val="002850CD"/>
    <w:rsid w:val="00285396"/>
    <w:rsid w:val="0028621B"/>
    <w:rsid w:val="002864A5"/>
    <w:rsid w:val="002916C0"/>
    <w:rsid w:val="002960A9"/>
    <w:rsid w:val="00296A0E"/>
    <w:rsid w:val="00296A89"/>
    <w:rsid w:val="002A164B"/>
    <w:rsid w:val="002A1C82"/>
    <w:rsid w:val="002A4790"/>
    <w:rsid w:val="002B53BC"/>
    <w:rsid w:val="002B7F41"/>
    <w:rsid w:val="002C3E50"/>
    <w:rsid w:val="002C43A8"/>
    <w:rsid w:val="002D169C"/>
    <w:rsid w:val="002D3349"/>
    <w:rsid w:val="002D39D1"/>
    <w:rsid w:val="002D5F28"/>
    <w:rsid w:val="002D6E98"/>
    <w:rsid w:val="002E34F7"/>
    <w:rsid w:val="002E47F9"/>
    <w:rsid w:val="002E715D"/>
    <w:rsid w:val="002F07B3"/>
    <w:rsid w:val="002F406E"/>
    <w:rsid w:val="002F4457"/>
    <w:rsid w:val="002F512F"/>
    <w:rsid w:val="002F6210"/>
    <w:rsid w:val="0030044D"/>
    <w:rsid w:val="0030175B"/>
    <w:rsid w:val="003073BC"/>
    <w:rsid w:val="0031026E"/>
    <w:rsid w:val="00314950"/>
    <w:rsid w:val="00315627"/>
    <w:rsid w:val="00315E2D"/>
    <w:rsid w:val="003176C2"/>
    <w:rsid w:val="00320517"/>
    <w:rsid w:val="003206EF"/>
    <w:rsid w:val="00321621"/>
    <w:rsid w:val="003236E3"/>
    <w:rsid w:val="00324AA9"/>
    <w:rsid w:val="00324C68"/>
    <w:rsid w:val="0032599C"/>
    <w:rsid w:val="00330293"/>
    <w:rsid w:val="00330A86"/>
    <w:rsid w:val="00330B2D"/>
    <w:rsid w:val="0033321A"/>
    <w:rsid w:val="00334D6D"/>
    <w:rsid w:val="003352EB"/>
    <w:rsid w:val="00341F93"/>
    <w:rsid w:val="00342353"/>
    <w:rsid w:val="00343781"/>
    <w:rsid w:val="00344B06"/>
    <w:rsid w:val="0034590F"/>
    <w:rsid w:val="003468A0"/>
    <w:rsid w:val="00350531"/>
    <w:rsid w:val="0035163B"/>
    <w:rsid w:val="003517E7"/>
    <w:rsid w:val="00351CF5"/>
    <w:rsid w:val="003530F1"/>
    <w:rsid w:val="00353467"/>
    <w:rsid w:val="00353C85"/>
    <w:rsid w:val="00354343"/>
    <w:rsid w:val="00354B96"/>
    <w:rsid w:val="00356EC7"/>
    <w:rsid w:val="00357839"/>
    <w:rsid w:val="00357DFC"/>
    <w:rsid w:val="0036073E"/>
    <w:rsid w:val="00360967"/>
    <w:rsid w:val="00362BF5"/>
    <w:rsid w:val="003631C4"/>
    <w:rsid w:val="00367311"/>
    <w:rsid w:val="00374359"/>
    <w:rsid w:val="003748CC"/>
    <w:rsid w:val="00374F97"/>
    <w:rsid w:val="00376307"/>
    <w:rsid w:val="003831FF"/>
    <w:rsid w:val="003855BB"/>
    <w:rsid w:val="003913A3"/>
    <w:rsid w:val="00391D6A"/>
    <w:rsid w:val="00392DE2"/>
    <w:rsid w:val="00393356"/>
    <w:rsid w:val="00393B25"/>
    <w:rsid w:val="00394BD7"/>
    <w:rsid w:val="00397FC5"/>
    <w:rsid w:val="003A1E79"/>
    <w:rsid w:val="003A4CD9"/>
    <w:rsid w:val="003B2141"/>
    <w:rsid w:val="003B22C0"/>
    <w:rsid w:val="003B3197"/>
    <w:rsid w:val="003B4834"/>
    <w:rsid w:val="003C0193"/>
    <w:rsid w:val="003C0FA2"/>
    <w:rsid w:val="003C1624"/>
    <w:rsid w:val="003C4B1F"/>
    <w:rsid w:val="003C6AB0"/>
    <w:rsid w:val="003C76A5"/>
    <w:rsid w:val="003D1CAB"/>
    <w:rsid w:val="003D20E5"/>
    <w:rsid w:val="003D2225"/>
    <w:rsid w:val="003D6F33"/>
    <w:rsid w:val="003D7AAA"/>
    <w:rsid w:val="003E129E"/>
    <w:rsid w:val="003E3A7A"/>
    <w:rsid w:val="003E3F0B"/>
    <w:rsid w:val="003E4E76"/>
    <w:rsid w:val="003F0878"/>
    <w:rsid w:val="003F3DC8"/>
    <w:rsid w:val="003F41D5"/>
    <w:rsid w:val="003F54BB"/>
    <w:rsid w:val="00400C43"/>
    <w:rsid w:val="004026A0"/>
    <w:rsid w:val="004036ED"/>
    <w:rsid w:val="004051AF"/>
    <w:rsid w:val="0040545B"/>
    <w:rsid w:val="00407608"/>
    <w:rsid w:val="00411804"/>
    <w:rsid w:val="0041794F"/>
    <w:rsid w:val="004213B8"/>
    <w:rsid w:val="00422982"/>
    <w:rsid w:val="00422D53"/>
    <w:rsid w:val="00426471"/>
    <w:rsid w:val="00431340"/>
    <w:rsid w:val="00432D99"/>
    <w:rsid w:val="004407EA"/>
    <w:rsid w:val="00440A1E"/>
    <w:rsid w:val="0044615F"/>
    <w:rsid w:val="00446751"/>
    <w:rsid w:val="004471EF"/>
    <w:rsid w:val="00450E2D"/>
    <w:rsid w:val="00450FE9"/>
    <w:rsid w:val="004549E3"/>
    <w:rsid w:val="00455761"/>
    <w:rsid w:val="00457448"/>
    <w:rsid w:val="00464E41"/>
    <w:rsid w:val="0046598A"/>
    <w:rsid w:val="00466E01"/>
    <w:rsid w:val="00470520"/>
    <w:rsid w:val="004732CD"/>
    <w:rsid w:val="00483D17"/>
    <w:rsid w:val="004843DF"/>
    <w:rsid w:val="00491112"/>
    <w:rsid w:val="00492563"/>
    <w:rsid w:val="00493381"/>
    <w:rsid w:val="00496224"/>
    <w:rsid w:val="004979C5"/>
    <w:rsid w:val="004A0185"/>
    <w:rsid w:val="004A298A"/>
    <w:rsid w:val="004A34B1"/>
    <w:rsid w:val="004A5291"/>
    <w:rsid w:val="004C4733"/>
    <w:rsid w:val="004C5757"/>
    <w:rsid w:val="004C5A9A"/>
    <w:rsid w:val="004C6F92"/>
    <w:rsid w:val="004C7F99"/>
    <w:rsid w:val="004D1D69"/>
    <w:rsid w:val="004D3900"/>
    <w:rsid w:val="004D3A4B"/>
    <w:rsid w:val="004D3C68"/>
    <w:rsid w:val="004D4151"/>
    <w:rsid w:val="004D4C6B"/>
    <w:rsid w:val="004D709C"/>
    <w:rsid w:val="004E07AA"/>
    <w:rsid w:val="004E3003"/>
    <w:rsid w:val="004E36D7"/>
    <w:rsid w:val="004E53F4"/>
    <w:rsid w:val="004F1EB9"/>
    <w:rsid w:val="004F50D0"/>
    <w:rsid w:val="004F621A"/>
    <w:rsid w:val="0050500F"/>
    <w:rsid w:val="00505C91"/>
    <w:rsid w:val="00506606"/>
    <w:rsid w:val="005101F8"/>
    <w:rsid w:val="00512FCE"/>
    <w:rsid w:val="00514312"/>
    <w:rsid w:val="0051516E"/>
    <w:rsid w:val="005152DF"/>
    <w:rsid w:val="00516EE9"/>
    <w:rsid w:val="00521302"/>
    <w:rsid w:val="00521DC6"/>
    <w:rsid w:val="00521F69"/>
    <w:rsid w:val="00522C19"/>
    <w:rsid w:val="00530A45"/>
    <w:rsid w:val="00532E8F"/>
    <w:rsid w:val="00533714"/>
    <w:rsid w:val="00533955"/>
    <w:rsid w:val="00534AA5"/>
    <w:rsid w:val="0054243E"/>
    <w:rsid w:val="00542C8E"/>
    <w:rsid w:val="00545810"/>
    <w:rsid w:val="00545CA8"/>
    <w:rsid w:val="0055173E"/>
    <w:rsid w:val="00553D63"/>
    <w:rsid w:val="00554C2F"/>
    <w:rsid w:val="00562803"/>
    <w:rsid w:val="00562A88"/>
    <w:rsid w:val="0056626C"/>
    <w:rsid w:val="00571421"/>
    <w:rsid w:val="00571829"/>
    <w:rsid w:val="00572F9A"/>
    <w:rsid w:val="005779CF"/>
    <w:rsid w:val="00580008"/>
    <w:rsid w:val="005829D4"/>
    <w:rsid w:val="00584789"/>
    <w:rsid w:val="00585D4A"/>
    <w:rsid w:val="00586D07"/>
    <w:rsid w:val="005904F4"/>
    <w:rsid w:val="005912FE"/>
    <w:rsid w:val="00593C90"/>
    <w:rsid w:val="00597E37"/>
    <w:rsid w:val="005A0AEB"/>
    <w:rsid w:val="005B3AB8"/>
    <w:rsid w:val="005B417B"/>
    <w:rsid w:val="005B4D47"/>
    <w:rsid w:val="005B5D67"/>
    <w:rsid w:val="005B641F"/>
    <w:rsid w:val="005B6A25"/>
    <w:rsid w:val="005C2D9A"/>
    <w:rsid w:val="005C30C1"/>
    <w:rsid w:val="005C490D"/>
    <w:rsid w:val="005C57F3"/>
    <w:rsid w:val="005D0BF1"/>
    <w:rsid w:val="005D1E11"/>
    <w:rsid w:val="005D3A0C"/>
    <w:rsid w:val="005D4DEB"/>
    <w:rsid w:val="005D7146"/>
    <w:rsid w:val="005D727E"/>
    <w:rsid w:val="005E2CF9"/>
    <w:rsid w:val="005E2DE3"/>
    <w:rsid w:val="005E4EBD"/>
    <w:rsid w:val="005F1612"/>
    <w:rsid w:val="005F422E"/>
    <w:rsid w:val="005F4BDA"/>
    <w:rsid w:val="005F5714"/>
    <w:rsid w:val="005F5C13"/>
    <w:rsid w:val="005F7409"/>
    <w:rsid w:val="006117F1"/>
    <w:rsid w:val="00613E6B"/>
    <w:rsid w:val="00614C12"/>
    <w:rsid w:val="00615DEE"/>
    <w:rsid w:val="00616434"/>
    <w:rsid w:val="00616B03"/>
    <w:rsid w:val="00620F1E"/>
    <w:rsid w:val="00622D6D"/>
    <w:rsid w:val="0062607A"/>
    <w:rsid w:val="00630483"/>
    <w:rsid w:val="00630A61"/>
    <w:rsid w:val="00633F15"/>
    <w:rsid w:val="0063538C"/>
    <w:rsid w:val="00643375"/>
    <w:rsid w:val="00643439"/>
    <w:rsid w:val="00644AB3"/>
    <w:rsid w:val="0064527E"/>
    <w:rsid w:val="00645DF1"/>
    <w:rsid w:val="00656792"/>
    <w:rsid w:val="00666E23"/>
    <w:rsid w:val="0066785A"/>
    <w:rsid w:val="006707C0"/>
    <w:rsid w:val="0067157D"/>
    <w:rsid w:val="00671B93"/>
    <w:rsid w:val="006731F2"/>
    <w:rsid w:val="006736B5"/>
    <w:rsid w:val="00673EE8"/>
    <w:rsid w:val="00674082"/>
    <w:rsid w:val="00674FF0"/>
    <w:rsid w:val="00681D8E"/>
    <w:rsid w:val="006820DE"/>
    <w:rsid w:val="00683B05"/>
    <w:rsid w:val="006865C2"/>
    <w:rsid w:val="00691ECF"/>
    <w:rsid w:val="00694AC9"/>
    <w:rsid w:val="006A2DBD"/>
    <w:rsid w:val="006A3FF1"/>
    <w:rsid w:val="006A49C2"/>
    <w:rsid w:val="006A6B93"/>
    <w:rsid w:val="006B089B"/>
    <w:rsid w:val="006B4BEB"/>
    <w:rsid w:val="006B56BC"/>
    <w:rsid w:val="006B5BD8"/>
    <w:rsid w:val="006C0278"/>
    <w:rsid w:val="006C1439"/>
    <w:rsid w:val="006C2A97"/>
    <w:rsid w:val="006C53F4"/>
    <w:rsid w:val="006C6B34"/>
    <w:rsid w:val="006C7047"/>
    <w:rsid w:val="006D0C51"/>
    <w:rsid w:val="006D287C"/>
    <w:rsid w:val="006D50DB"/>
    <w:rsid w:val="006D7B54"/>
    <w:rsid w:val="006D7CB5"/>
    <w:rsid w:val="006E19C9"/>
    <w:rsid w:val="006E5547"/>
    <w:rsid w:val="006E5710"/>
    <w:rsid w:val="006E60F4"/>
    <w:rsid w:val="006E6B79"/>
    <w:rsid w:val="006E6B7E"/>
    <w:rsid w:val="006E6D1D"/>
    <w:rsid w:val="006F6119"/>
    <w:rsid w:val="006F759F"/>
    <w:rsid w:val="00702012"/>
    <w:rsid w:val="0070285F"/>
    <w:rsid w:val="0070670F"/>
    <w:rsid w:val="007074F2"/>
    <w:rsid w:val="00715412"/>
    <w:rsid w:val="00715575"/>
    <w:rsid w:val="0071576C"/>
    <w:rsid w:val="00722D36"/>
    <w:rsid w:val="007233F2"/>
    <w:rsid w:val="007269B4"/>
    <w:rsid w:val="00730E01"/>
    <w:rsid w:val="00731F78"/>
    <w:rsid w:val="00732936"/>
    <w:rsid w:val="00736469"/>
    <w:rsid w:val="0073686E"/>
    <w:rsid w:val="00737EA2"/>
    <w:rsid w:val="00740261"/>
    <w:rsid w:val="007413C4"/>
    <w:rsid w:val="007435EF"/>
    <w:rsid w:val="00746D9B"/>
    <w:rsid w:val="00747948"/>
    <w:rsid w:val="00747ACE"/>
    <w:rsid w:val="007505EE"/>
    <w:rsid w:val="00750C00"/>
    <w:rsid w:val="00752C87"/>
    <w:rsid w:val="00756877"/>
    <w:rsid w:val="0075798B"/>
    <w:rsid w:val="00760447"/>
    <w:rsid w:val="00762DEE"/>
    <w:rsid w:val="007644B6"/>
    <w:rsid w:val="00764D1C"/>
    <w:rsid w:val="007674F0"/>
    <w:rsid w:val="00771618"/>
    <w:rsid w:val="00780C85"/>
    <w:rsid w:val="00781361"/>
    <w:rsid w:val="00783197"/>
    <w:rsid w:val="007848F3"/>
    <w:rsid w:val="00787790"/>
    <w:rsid w:val="00790740"/>
    <w:rsid w:val="00791EDD"/>
    <w:rsid w:val="00797DE4"/>
    <w:rsid w:val="007A050C"/>
    <w:rsid w:val="007A0C00"/>
    <w:rsid w:val="007A3179"/>
    <w:rsid w:val="007A4270"/>
    <w:rsid w:val="007A4DA1"/>
    <w:rsid w:val="007A7EF4"/>
    <w:rsid w:val="007B03EB"/>
    <w:rsid w:val="007B15E2"/>
    <w:rsid w:val="007B1641"/>
    <w:rsid w:val="007B1A4C"/>
    <w:rsid w:val="007B1DA3"/>
    <w:rsid w:val="007B625B"/>
    <w:rsid w:val="007B6A1A"/>
    <w:rsid w:val="007B71D6"/>
    <w:rsid w:val="007C1134"/>
    <w:rsid w:val="007C20E8"/>
    <w:rsid w:val="007C3D06"/>
    <w:rsid w:val="007C3D37"/>
    <w:rsid w:val="007C6475"/>
    <w:rsid w:val="007C6E62"/>
    <w:rsid w:val="007C770C"/>
    <w:rsid w:val="007E1C67"/>
    <w:rsid w:val="007E2EF2"/>
    <w:rsid w:val="007E46B5"/>
    <w:rsid w:val="007E474C"/>
    <w:rsid w:val="007F00E1"/>
    <w:rsid w:val="007F334A"/>
    <w:rsid w:val="007F3A27"/>
    <w:rsid w:val="007F54FD"/>
    <w:rsid w:val="007F5926"/>
    <w:rsid w:val="007F7568"/>
    <w:rsid w:val="00802B09"/>
    <w:rsid w:val="00807CD0"/>
    <w:rsid w:val="00810761"/>
    <w:rsid w:val="008112E5"/>
    <w:rsid w:val="00815684"/>
    <w:rsid w:val="00822E52"/>
    <w:rsid w:val="00824944"/>
    <w:rsid w:val="00825D05"/>
    <w:rsid w:val="008274C0"/>
    <w:rsid w:val="00831D13"/>
    <w:rsid w:val="00832788"/>
    <w:rsid w:val="00832EDC"/>
    <w:rsid w:val="0083368E"/>
    <w:rsid w:val="00840533"/>
    <w:rsid w:val="00846DCD"/>
    <w:rsid w:val="00846EC0"/>
    <w:rsid w:val="00847B4C"/>
    <w:rsid w:val="00850CF2"/>
    <w:rsid w:val="00853822"/>
    <w:rsid w:val="00854035"/>
    <w:rsid w:val="008557CB"/>
    <w:rsid w:val="00855A21"/>
    <w:rsid w:val="0085618A"/>
    <w:rsid w:val="0085649F"/>
    <w:rsid w:val="00856B5A"/>
    <w:rsid w:val="008648C1"/>
    <w:rsid w:val="00864A89"/>
    <w:rsid w:val="00867B59"/>
    <w:rsid w:val="008714ED"/>
    <w:rsid w:val="00871546"/>
    <w:rsid w:val="00871F09"/>
    <w:rsid w:val="00872AD7"/>
    <w:rsid w:val="00872F4D"/>
    <w:rsid w:val="00873979"/>
    <w:rsid w:val="00882FA6"/>
    <w:rsid w:val="00885A99"/>
    <w:rsid w:val="00886F60"/>
    <w:rsid w:val="00892002"/>
    <w:rsid w:val="00892F4C"/>
    <w:rsid w:val="00893366"/>
    <w:rsid w:val="0089581A"/>
    <w:rsid w:val="00897F40"/>
    <w:rsid w:val="008A0019"/>
    <w:rsid w:val="008A0EE8"/>
    <w:rsid w:val="008A106C"/>
    <w:rsid w:val="008A21C5"/>
    <w:rsid w:val="008A39A7"/>
    <w:rsid w:val="008A46DF"/>
    <w:rsid w:val="008A4E97"/>
    <w:rsid w:val="008A5051"/>
    <w:rsid w:val="008A72D7"/>
    <w:rsid w:val="008B04B4"/>
    <w:rsid w:val="008B094C"/>
    <w:rsid w:val="008B1138"/>
    <w:rsid w:val="008B645E"/>
    <w:rsid w:val="008C3E40"/>
    <w:rsid w:val="008C5F11"/>
    <w:rsid w:val="008D1CCB"/>
    <w:rsid w:val="008D5A82"/>
    <w:rsid w:val="008D6CE3"/>
    <w:rsid w:val="008D7D12"/>
    <w:rsid w:val="008E0F6A"/>
    <w:rsid w:val="008E52F5"/>
    <w:rsid w:val="008E5E89"/>
    <w:rsid w:val="008E67DC"/>
    <w:rsid w:val="008F1C20"/>
    <w:rsid w:val="008F2171"/>
    <w:rsid w:val="008F2558"/>
    <w:rsid w:val="008F2B6C"/>
    <w:rsid w:val="008F455E"/>
    <w:rsid w:val="008F55A1"/>
    <w:rsid w:val="00901EC6"/>
    <w:rsid w:val="0090268B"/>
    <w:rsid w:val="00903AC3"/>
    <w:rsid w:val="0090412B"/>
    <w:rsid w:val="0090464B"/>
    <w:rsid w:val="00904667"/>
    <w:rsid w:val="00905D6E"/>
    <w:rsid w:val="009066D1"/>
    <w:rsid w:val="00906E5D"/>
    <w:rsid w:val="00914302"/>
    <w:rsid w:val="00917830"/>
    <w:rsid w:val="00917D45"/>
    <w:rsid w:val="0092560C"/>
    <w:rsid w:val="00931069"/>
    <w:rsid w:val="0093342B"/>
    <w:rsid w:val="00934204"/>
    <w:rsid w:val="00935EF9"/>
    <w:rsid w:val="00935FCE"/>
    <w:rsid w:val="00936310"/>
    <w:rsid w:val="00937786"/>
    <w:rsid w:val="00943733"/>
    <w:rsid w:val="00944069"/>
    <w:rsid w:val="00950B34"/>
    <w:rsid w:val="00961443"/>
    <w:rsid w:val="00963E91"/>
    <w:rsid w:val="00963F6F"/>
    <w:rsid w:val="00971120"/>
    <w:rsid w:val="0097753C"/>
    <w:rsid w:val="00984ABC"/>
    <w:rsid w:val="00987951"/>
    <w:rsid w:val="00992E7B"/>
    <w:rsid w:val="0099416E"/>
    <w:rsid w:val="00995DB3"/>
    <w:rsid w:val="009968E2"/>
    <w:rsid w:val="00996BA3"/>
    <w:rsid w:val="009A199C"/>
    <w:rsid w:val="009A373F"/>
    <w:rsid w:val="009A3870"/>
    <w:rsid w:val="009A62EF"/>
    <w:rsid w:val="009A7380"/>
    <w:rsid w:val="009A7BDA"/>
    <w:rsid w:val="009B10AA"/>
    <w:rsid w:val="009B2702"/>
    <w:rsid w:val="009B795B"/>
    <w:rsid w:val="009D5F96"/>
    <w:rsid w:val="009D6C17"/>
    <w:rsid w:val="009E0355"/>
    <w:rsid w:val="009E48E5"/>
    <w:rsid w:val="009E5683"/>
    <w:rsid w:val="009F273F"/>
    <w:rsid w:val="009F37ED"/>
    <w:rsid w:val="009F4C67"/>
    <w:rsid w:val="009F5ADC"/>
    <w:rsid w:val="009F71C9"/>
    <w:rsid w:val="009F7C44"/>
    <w:rsid w:val="00A01353"/>
    <w:rsid w:val="00A013D7"/>
    <w:rsid w:val="00A0273F"/>
    <w:rsid w:val="00A06784"/>
    <w:rsid w:val="00A11458"/>
    <w:rsid w:val="00A149E6"/>
    <w:rsid w:val="00A17E9E"/>
    <w:rsid w:val="00A25B07"/>
    <w:rsid w:val="00A27F64"/>
    <w:rsid w:val="00A30E5D"/>
    <w:rsid w:val="00A3161F"/>
    <w:rsid w:val="00A32DCA"/>
    <w:rsid w:val="00A350E0"/>
    <w:rsid w:val="00A35F2B"/>
    <w:rsid w:val="00A36A6D"/>
    <w:rsid w:val="00A37D1D"/>
    <w:rsid w:val="00A4029B"/>
    <w:rsid w:val="00A4191F"/>
    <w:rsid w:val="00A42E62"/>
    <w:rsid w:val="00A4482A"/>
    <w:rsid w:val="00A45148"/>
    <w:rsid w:val="00A453F0"/>
    <w:rsid w:val="00A544CB"/>
    <w:rsid w:val="00A61425"/>
    <w:rsid w:val="00A6174C"/>
    <w:rsid w:val="00A62B5D"/>
    <w:rsid w:val="00A6451A"/>
    <w:rsid w:val="00A700D9"/>
    <w:rsid w:val="00A81FE9"/>
    <w:rsid w:val="00A82207"/>
    <w:rsid w:val="00A846EB"/>
    <w:rsid w:val="00A911A2"/>
    <w:rsid w:val="00A938C2"/>
    <w:rsid w:val="00A94025"/>
    <w:rsid w:val="00A96F54"/>
    <w:rsid w:val="00AA0B4B"/>
    <w:rsid w:val="00AA1F52"/>
    <w:rsid w:val="00AA2353"/>
    <w:rsid w:val="00AA25B6"/>
    <w:rsid w:val="00AA2B7F"/>
    <w:rsid w:val="00AA4BE8"/>
    <w:rsid w:val="00AA6E37"/>
    <w:rsid w:val="00AB308A"/>
    <w:rsid w:val="00AB4AF0"/>
    <w:rsid w:val="00AB64A8"/>
    <w:rsid w:val="00AB7A96"/>
    <w:rsid w:val="00AC2003"/>
    <w:rsid w:val="00AC2127"/>
    <w:rsid w:val="00AC3A1D"/>
    <w:rsid w:val="00AC71B4"/>
    <w:rsid w:val="00AD00BE"/>
    <w:rsid w:val="00AD0250"/>
    <w:rsid w:val="00AD1B04"/>
    <w:rsid w:val="00AD203C"/>
    <w:rsid w:val="00AD4BC9"/>
    <w:rsid w:val="00AD7D0F"/>
    <w:rsid w:val="00AE0B29"/>
    <w:rsid w:val="00AE1D3E"/>
    <w:rsid w:val="00AE383C"/>
    <w:rsid w:val="00AE6EBE"/>
    <w:rsid w:val="00AE7916"/>
    <w:rsid w:val="00AF2EA9"/>
    <w:rsid w:val="00AF3112"/>
    <w:rsid w:val="00AF3EE4"/>
    <w:rsid w:val="00AF7A4E"/>
    <w:rsid w:val="00B0154D"/>
    <w:rsid w:val="00B03BDF"/>
    <w:rsid w:val="00B054A5"/>
    <w:rsid w:val="00B10264"/>
    <w:rsid w:val="00B10430"/>
    <w:rsid w:val="00B120C9"/>
    <w:rsid w:val="00B14564"/>
    <w:rsid w:val="00B14F3C"/>
    <w:rsid w:val="00B178D6"/>
    <w:rsid w:val="00B20539"/>
    <w:rsid w:val="00B25D6F"/>
    <w:rsid w:val="00B26522"/>
    <w:rsid w:val="00B30785"/>
    <w:rsid w:val="00B30A03"/>
    <w:rsid w:val="00B337A3"/>
    <w:rsid w:val="00B353EB"/>
    <w:rsid w:val="00B45C11"/>
    <w:rsid w:val="00B47F96"/>
    <w:rsid w:val="00B543FB"/>
    <w:rsid w:val="00B5557B"/>
    <w:rsid w:val="00B55603"/>
    <w:rsid w:val="00B568FE"/>
    <w:rsid w:val="00B634C0"/>
    <w:rsid w:val="00B645F7"/>
    <w:rsid w:val="00B668FD"/>
    <w:rsid w:val="00B67323"/>
    <w:rsid w:val="00B70123"/>
    <w:rsid w:val="00B7015D"/>
    <w:rsid w:val="00B70AD2"/>
    <w:rsid w:val="00B711D8"/>
    <w:rsid w:val="00B7344E"/>
    <w:rsid w:val="00B820DB"/>
    <w:rsid w:val="00B82E73"/>
    <w:rsid w:val="00B83CFC"/>
    <w:rsid w:val="00B85112"/>
    <w:rsid w:val="00B938BF"/>
    <w:rsid w:val="00B939FB"/>
    <w:rsid w:val="00BA01A7"/>
    <w:rsid w:val="00BA279E"/>
    <w:rsid w:val="00BA3E70"/>
    <w:rsid w:val="00BA5E2C"/>
    <w:rsid w:val="00BA5F56"/>
    <w:rsid w:val="00BA7AAC"/>
    <w:rsid w:val="00BB01C3"/>
    <w:rsid w:val="00BB0808"/>
    <w:rsid w:val="00BC79C2"/>
    <w:rsid w:val="00BD01D3"/>
    <w:rsid w:val="00BD238B"/>
    <w:rsid w:val="00BD2684"/>
    <w:rsid w:val="00BD34BA"/>
    <w:rsid w:val="00BD39D0"/>
    <w:rsid w:val="00BD5646"/>
    <w:rsid w:val="00BE71C7"/>
    <w:rsid w:val="00BE792C"/>
    <w:rsid w:val="00BF1198"/>
    <w:rsid w:val="00BF57BF"/>
    <w:rsid w:val="00BF6302"/>
    <w:rsid w:val="00BF71AA"/>
    <w:rsid w:val="00BF7DD4"/>
    <w:rsid w:val="00C00940"/>
    <w:rsid w:val="00C01CFF"/>
    <w:rsid w:val="00C030BA"/>
    <w:rsid w:val="00C03E75"/>
    <w:rsid w:val="00C043CC"/>
    <w:rsid w:val="00C04A03"/>
    <w:rsid w:val="00C05AC7"/>
    <w:rsid w:val="00C078DC"/>
    <w:rsid w:val="00C10584"/>
    <w:rsid w:val="00C11C13"/>
    <w:rsid w:val="00C1211E"/>
    <w:rsid w:val="00C20714"/>
    <w:rsid w:val="00C20BB0"/>
    <w:rsid w:val="00C23F09"/>
    <w:rsid w:val="00C23FE6"/>
    <w:rsid w:val="00C31C31"/>
    <w:rsid w:val="00C34218"/>
    <w:rsid w:val="00C362F6"/>
    <w:rsid w:val="00C411EA"/>
    <w:rsid w:val="00C4397A"/>
    <w:rsid w:val="00C44A07"/>
    <w:rsid w:val="00C54A03"/>
    <w:rsid w:val="00C54B4B"/>
    <w:rsid w:val="00C54BC8"/>
    <w:rsid w:val="00C56214"/>
    <w:rsid w:val="00C60212"/>
    <w:rsid w:val="00C61F35"/>
    <w:rsid w:val="00C64E48"/>
    <w:rsid w:val="00C6709C"/>
    <w:rsid w:val="00C70F72"/>
    <w:rsid w:val="00C739B4"/>
    <w:rsid w:val="00C73DA5"/>
    <w:rsid w:val="00C74DC9"/>
    <w:rsid w:val="00C821CC"/>
    <w:rsid w:val="00C82BD7"/>
    <w:rsid w:val="00C82CED"/>
    <w:rsid w:val="00C83411"/>
    <w:rsid w:val="00C839FB"/>
    <w:rsid w:val="00C85186"/>
    <w:rsid w:val="00C872DA"/>
    <w:rsid w:val="00C93AF4"/>
    <w:rsid w:val="00CA3892"/>
    <w:rsid w:val="00CA530B"/>
    <w:rsid w:val="00CA5DA0"/>
    <w:rsid w:val="00CB11A1"/>
    <w:rsid w:val="00CB64C8"/>
    <w:rsid w:val="00CB716F"/>
    <w:rsid w:val="00CC003C"/>
    <w:rsid w:val="00CC0516"/>
    <w:rsid w:val="00CC60E4"/>
    <w:rsid w:val="00CC6FAE"/>
    <w:rsid w:val="00CD18EC"/>
    <w:rsid w:val="00CD42B2"/>
    <w:rsid w:val="00CD5B62"/>
    <w:rsid w:val="00CD5DAE"/>
    <w:rsid w:val="00CD6F33"/>
    <w:rsid w:val="00CF1E34"/>
    <w:rsid w:val="00CF1FDB"/>
    <w:rsid w:val="00CF20BB"/>
    <w:rsid w:val="00CF35C3"/>
    <w:rsid w:val="00CF45D1"/>
    <w:rsid w:val="00CF4FF4"/>
    <w:rsid w:val="00CF68F0"/>
    <w:rsid w:val="00CF6B07"/>
    <w:rsid w:val="00D0602E"/>
    <w:rsid w:val="00D064E5"/>
    <w:rsid w:val="00D06A4B"/>
    <w:rsid w:val="00D06FE8"/>
    <w:rsid w:val="00D13E59"/>
    <w:rsid w:val="00D15EBC"/>
    <w:rsid w:val="00D20A7F"/>
    <w:rsid w:val="00D241E6"/>
    <w:rsid w:val="00D25A29"/>
    <w:rsid w:val="00D2790D"/>
    <w:rsid w:val="00D27B11"/>
    <w:rsid w:val="00D32074"/>
    <w:rsid w:val="00D33C3F"/>
    <w:rsid w:val="00D418E4"/>
    <w:rsid w:val="00D420D2"/>
    <w:rsid w:val="00D425A5"/>
    <w:rsid w:val="00D42D36"/>
    <w:rsid w:val="00D468EE"/>
    <w:rsid w:val="00D51C8F"/>
    <w:rsid w:val="00D53A8B"/>
    <w:rsid w:val="00D5724D"/>
    <w:rsid w:val="00D6021B"/>
    <w:rsid w:val="00D6182D"/>
    <w:rsid w:val="00D65D1B"/>
    <w:rsid w:val="00D66BFD"/>
    <w:rsid w:val="00D67BC1"/>
    <w:rsid w:val="00D704DA"/>
    <w:rsid w:val="00D7216B"/>
    <w:rsid w:val="00D77709"/>
    <w:rsid w:val="00D81A05"/>
    <w:rsid w:val="00D81A12"/>
    <w:rsid w:val="00D8435B"/>
    <w:rsid w:val="00D852F4"/>
    <w:rsid w:val="00D86EA7"/>
    <w:rsid w:val="00D916D1"/>
    <w:rsid w:val="00D95842"/>
    <w:rsid w:val="00DB0259"/>
    <w:rsid w:val="00DB14C4"/>
    <w:rsid w:val="00DB1535"/>
    <w:rsid w:val="00DB1E14"/>
    <w:rsid w:val="00DB2413"/>
    <w:rsid w:val="00DB5BFC"/>
    <w:rsid w:val="00DC005B"/>
    <w:rsid w:val="00DC122A"/>
    <w:rsid w:val="00DC6270"/>
    <w:rsid w:val="00DC6AF0"/>
    <w:rsid w:val="00DD1003"/>
    <w:rsid w:val="00DD3604"/>
    <w:rsid w:val="00DD485C"/>
    <w:rsid w:val="00DD6647"/>
    <w:rsid w:val="00DD7AE9"/>
    <w:rsid w:val="00DE039E"/>
    <w:rsid w:val="00DE3169"/>
    <w:rsid w:val="00DF05AC"/>
    <w:rsid w:val="00DF3326"/>
    <w:rsid w:val="00E01D60"/>
    <w:rsid w:val="00E0410E"/>
    <w:rsid w:val="00E06E46"/>
    <w:rsid w:val="00E070A7"/>
    <w:rsid w:val="00E0726E"/>
    <w:rsid w:val="00E10CC3"/>
    <w:rsid w:val="00E130CD"/>
    <w:rsid w:val="00E20165"/>
    <w:rsid w:val="00E20353"/>
    <w:rsid w:val="00E215BA"/>
    <w:rsid w:val="00E21B14"/>
    <w:rsid w:val="00E22554"/>
    <w:rsid w:val="00E245F8"/>
    <w:rsid w:val="00E30A0B"/>
    <w:rsid w:val="00E30C6F"/>
    <w:rsid w:val="00E30C9D"/>
    <w:rsid w:val="00E333F8"/>
    <w:rsid w:val="00E338C9"/>
    <w:rsid w:val="00E404F3"/>
    <w:rsid w:val="00E4117D"/>
    <w:rsid w:val="00E43BAB"/>
    <w:rsid w:val="00E47E43"/>
    <w:rsid w:val="00E529C0"/>
    <w:rsid w:val="00E52B3B"/>
    <w:rsid w:val="00E54D41"/>
    <w:rsid w:val="00E56906"/>
    <w:rsid w:val="00E57E71"/>
    <w:rsid w:val="00E622CC"/>
    <w:rsid w:val="00E62C0D"/>
    <w:rsid w:val="00E67673"/>
    <w:rsid w:val="00E67B8B"/>
    <w:rsid w:val="00E72520"/>
    <w:rsid w:val="00E726E1"/>
    <w:rsid w:val="00E76F0E"/>
    <w:rsid w:val="00E828AF"/>
    <w:rsid w:val="00E83CFA"/>
    <w:rsid w:val="00E84CAA"/>
    <w:rsid w:val="00E853B9"/>
    <w:rsid w:val="00E862EC"/>
    <w:rsid w:val="00E86AA6"/>
    <w:rsid w:val="00E87216"/>
    <w:rsid w:val="00E87E14"/>
    <w:rsid w:val="00E9034E"/>
    <w:rsid w:val="00E90633"/>
    <w:rsid w:val="00E91996"/>
    <w:rsid w:val="00E92414"/>
    <w:rsid w:val="00E962DB"/>
    <w:rsid w:val="00EA4AB9"/>
    <w:rsid w:val="00EA4C7C"/>
    <w:rsid w:val="00EA50A4"/>
    <w:rsid w:val="00EA7268"/>
    <w:rsid w:val="00EB1CD3"/>
    <w:rsid w:val="00EB34D1"/>
    <w:rsid w:val="00EB3B94"/>
    <w:rsid w:val="00EB5F3E"/>
    <w:rsid w:val="00EC006E"/>
    <w:rsid w:val="00EC0BF0"/>
    <w:rsid w:val="00EC3ABE"/>
    <w:rsid w:val="00EC7DDC"/>
    <w:rsid w:val="00ED0C43"/>
    <w:rsid w:val="00ED2797"/>
    <w:rsid w:val="00ED4BEE"/>
    <w:rsid w:val="00ED4F4C"/>
    <w:rsid w:val="00ED5174"/>
    <w:rsid w:val="00ED57B2"/>
    <w:rsid w:val="00ED755E"/>
    <w:rsid w:val="00EE0967"/>
    <w:rsid w:val="00EE18F4"/>
    <w:rsid w:val="00EE2554"/>
    <w:rsid w:val="00EF0435"/>
    <w:rsid w:val="00EF0CE8"/>
    <w:rsid w:val="00EF3284"/>
    <w:rsid w:val="00EF5C81"/>
    <w:rsid w:val="00EF5D4A"/>
    <w:rsid w:val="00EF6C05"/>
    <w:rsid w:val="00F00053"/>
    <w:rsid w:val="00F0103D"/>
    <w:rsid w:val="00F0112D"/>
    <w:rsid w:val="00F01C0C"/>
    <w:rsid w:val="00F05C9C"/>
    <w:rsid w:val="00F05EEE"/>
    <w:rsid w:val="00F121AC"/>
    <w:rsid w:val="00F1261F"/>
    <w:rsid w:val="00F13010"/>
    <w:rsid w:val="00F13FE7"/>
    <w:rsid w:val="00F140F1"/>
    <w:rsid w:val="00F14B7D"/>
    <w:rsid w:val="00F27957"/>
    <w:rsid w:val="00F30F24"/>
    <w:rsid w:val="00F33663"/>
    <w:rsid w:val="00F33821"/>
    <w:rsid w:val="00F3684E"/>
    <w:rsid w:val="00F37667"/>
    <w:rsid w:val="00F4255C"/>
    <w:rsid w:val="00F46539"/>
    <w:rsid w:val="00F50ED2"/>
    <w:rsid w:val="00F50F88"/>
    <w:rsid w:val="00F53913"/>
    <w:rsid w:val="00F564BC"/>
    <w:rsid w:val="00F56738"/>
    <w:rsid w:val="00F62EBA"/>
    <w:rsid w:val="00F63841"/>
    <w:rsid w:val="00F662F6"/>
    <w:rsid w:val="00F67CA7"/>
    <w:rsid w:val="00F70910"/>
    <w:rsid w:val="00F762B7"/>
    <w:rsid w:val="00F7688D"/>
    <w:rsid w:val="00F80FEF"/>
    <w:rsid w:val="00F8138C"/>
    <w:rsid w:val="00F813B1"/>
    <w:rsid w:val="00F82E7E"/>
    <w:rsid w:val="00F83732"/>
    <w:rsid w:val="00F874DA"/>
    <w:rsid w:val="00F9226F"/>
    <w:rsid w:val="00F9370D"/>
    <w:rsid w:val="00F94542"/>
    <w:rsid w:val="00F97DEA"/>
    <w:rsid w:val="00FA0FDA"/>
    <w:rsid w:val="00FA23D6"/>
    <w:rsid w:val="00FA3B78"/>
    <w:rsid w:val="00FA77D5"/>
    <w:rsid w:val="00FB10D3"/>
    <w:rsid w:val="00FB465D"/>
    <w:rsid w:val="00FB78BD"/>
    <w:rsid w:val="00FC1FD6"/>
    <w:rsid w:val="00FC2508"/>
    <w:rsid w:val="00FC3EBC"/>
    <w:rsid w:val="00FD1D93"/>
    <w:rsid w:val="00FD3090"/>
    <w:rsid w:val="00FD3608"/>
    <w:rsid w:val="00FE3CC0"/>
    <w:rsid w:val="00FE50EE"/>
    <w:rsid w:val="00FE7B4D"/>
    <w:rsid w:val="00FF0AA5"/>
    <w:rsid w:val="00FF0E07"/>
    <w:rsid w:val="00FF1ED7"/>
    <w:rsid w:val="00FF54DE"/>
    <w:rsid w:val="00FF7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36A30"/>
  <w15:chartTrackingRefBased/>
  <w15:docId w15:val="{B99C08C0-E885-4E68-AD6B-D09EE923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ED2"/>
    <w:rPr>
      <w:rFonts w:ascii="Calibri" w:hAnsi="Calibri"/>
      <w:color w:val="0B3B60"/>
    </w:rPr>
  </w:style>
  <w:style w:type="paragraph" w:styleId="Kop1">
    <w:name w:val="heading 1"/>
    <w:basedOn w:val="Standaard"/>
    <w:next w:val="Standaard"/>
    <w:link w:val="Kop1Char"/>
    <w:uiPriority w:val="9"/>
    <w:qFormat/>
    <w:rsid w:val="00846DCD"/>
    <w:pPr>
      <w:keepNext/>
      <w:keepLines/>
      <w:spacing w:before="240" w:after="0"/>
      <w:outlineLvl w:val="0"/>
    </w:pPr>
    <w:rPr>
      <w:rFonts w:eastAsiaTheme="majorEastAsia" w:cstheme="majorBidi"/>
      <w:b/>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6E37"/>
    <w:pPr>
      <w:overflowPunct w:val="0"/>
      <w:autoSpaceDE w:val="0"/>
      <w:autoSpaceDN w:val="0"/>
      <w:adjustRightInd w:val="0"/>
      <w:spacing w:after="0" w:line="240" w:lineRule="auto"/>
    </w:pPr>
    <w:rPr>
      <w:rFonts w:ascii="Calibri" w:eastAsia="Times New Roman" w:hAnsi="Calibri" w:cs="Times New Roman"/>
      <w:color w:val="0B3B60"/>
      <w:szCs w:val="20"/>
      <w:lang w:eastAsia="nl-NL"/>
    </w:rPr>
  </w:style>
  <w:style w:type="paragraph" w:styleId="Koptekst">
    <w:name w:val="header"/>
    <w:basedOn w:val="Standaard"/>
    <w:link w:val="KoptekstChar"/>
    <w:uiPriority w:val="99"/>
    <w:unhideWhenUsed/>
    <w:rsid w:val="00AA6E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6E37"/>
    <w:rPr>
      <w:rFonts w:ascii="Calibri" w:hAnsi="Calibri"/>
      <w:color w:val="0B3B60"/>
    </w:rPr>
  </w:style>
  <w:style w:type="paragraph" w:styleId="Voettekst">
    <w:name w:val="footer"/>
    <w:basedOn w:val="Standaard"/>
    <w:link w:val="VoettekstChar"/>
    <w:uiPriority w:val="99"/>
    <w:unhideWhenUsed/>
    <w:rsid w:val="00AA6E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6E37"/>
    <w:rPr>
      <w:rFonts w:ascii="Calibri" w:hAnsi="Calibri"/>
      <w:color w:val="0B3B60"/>
    </w:rPr>
  </w:style>
  <w:style w:type="table" w:styleId="Tabelraster">
    <w:name w:val="Table Grid"/>
    <w:basedOn w:val="Standaardtabel"/>
    <w:uiPriority w:val="39"/>
    <w:rsid w:val="00AA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46DCD"/>
    <w:rPr>
      <w:color w:val="0563C1" w:themeColor="hyperlink"/>
      <w:u w:val="single"/>
    </w:rPr>
  </w:style>
  <w:style w:type="character" w:styleId="Vermelding">
    <w:name w:val="Mention"/>
    <w:basedOn w:val="Standaardalinea-lettertype"/>
    <w:uiPriority w:val="99"/>
    <w:semiHidden/>
    <w:unhideWhenUsed/>
    <w:rsid w:val="00846DCD"/>
    <w:rPr>
      <w:color w:val="2B579A"/>
      <w:shd w:val="clear" w:color="auto" w:fill="E6E6E6"/>
    </w:rPr>
  </w:style>
  <w:style w:type="character" w:customStyle="1" w:styleId="Kop1Char">
    <w:name w:val="Kop 1 Char"/>
    <w:basedOn w:val="Standaardalinea-lettertype"/>
    <w:link w:val="Kop1"/>
    <w:uiPriority w:val="9"/>
    <w:rsid w:val="00846DCD"/>
    <w:rPr>
      <w:rFonts w:ascii="Calibri" w:eastAsiaTheme="majorEastAsia" w:hAnsi="Calibri" w:cstheme="majorBidi"/>
      <w:b/>
      <w:color w:val="0B3B60"/>
      <w:szCs w:val="32"/>
    </w:rPr>
  </w:style>
  <w:style w:type="paragraph" w:styleId="Kopvaninhoudsopgave">
    <w:name w:val="TOC Heading"/>
    <w:basedOn w:val="Kop1"/>
    <w:next w:val="Standaard"/>
    <w:uiPriority w:val="39"/>
    <w:unhideWhenUsed/>
    <w:qFormat/>
    <w:rsid w:val="00846DCD"/>
    <w:pPr>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846DCD"/>
    <w:pPr>
      <w:spacing w:after="100"/>
    </w:pPr>
  </w:style>
  <w:style w:type="paragraph" w:styleId="Ballontekst">
    <w:name w:val="Balloon Text"/>
    <w:basedOn w:val="Standaard"/>
    <w:link w:val="BallontekstChar"/>
    <w:uiPriority w:val="99"/>
    <w:semiHidden/>
    <w:unhideWhenUsed/>
    <w:rsid w:val="002A47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4790"/>
    <w:rPr>
      <w:rFonts w:ascii="Segoe UI" w:hAnsi="Segoe UI" w:cs="Segoe UI"/>
      <w:color w:val="0B3B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2emissiefactoren.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2emissiefactoren.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o2emissiefactoren.n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2emissiefactoren.n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59EDAB9A411DA3F2947E9626A7EF"/>
        <w:category>
          <w:name w:val="Algemeen"/>
          <w:gallery w:val="placeholder"/>
        </w:category>
        <w:types>
          <w:type w:val="bbPlcHdr"/>
        </w:types>
        <w:behaviors>
          <w:behavior w:val="content"/>
        </w:behaviors>
        <w:guid w:val="{0EB0FDE8-EB91-40DF-A098-884CB7F3EBB3}"/>
      </w:docPartPr>
      <w:docPartBody>
        <w:p w:rsidR="009761F7" w:rsidRDefault="007F3AFC" w:rsidP="007F3AFC">
          <w:pPr>
            <w:pStyle w:val="7EF459EDAB9A411DA3F2947E9626A7EF"/>
          </w:pPr>
          <w:r w:rsidRPr="00733A61">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FC"/>
    <w:rsid w:val="00670944"/>
    <w:rsid w:val="007312A3"/>
    <w:rsid w:val="007F3AFC"/>
    <w:rsid w:val="009761F7"/>
    <w:rsid w:val="00C063D7"/>
    <w:rsid w:val="00FA6649"/>
    <w:rsid w:val="00FB2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3AFC"/>
    <w:rPr>
      <w:color w:val="808080"/>
    </w:rPr>
  </w:style>
  <w:style w:type="paragraph" w:customStyle="1" w:styleId="7EF459EDAB9A411DA3F2947E9626A7EF">
    <w:name w:val="7EF459EDAB9A411DA3F2947E9626A7EF"/>
    <w:rsid w:val="007F3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CA2E7E37DE4488FBCCD81B69B6E2B" ma:contentTypeVersion="14" ma:contentTypeDescription="Een nieuw document maken." ma:contentTypeScope="" ma:versionID="ef86b0f12021a63b9fcaabf5aa2382b9">
  <xsd:schema xmlns:xsd="http://www.w3.org/2001/XMLSchema" xmlns:xs="http://www.w3.org/2001/XMLSchema" xmlns:p="http://schemas.microsoft.com/office/2006/metadata/properties" xmlns:ns2="fa2d91d3-104d-418f-b578-83fd40418d56" xmlns:ns3="a73a3d98-899d-44cc-b57d-2644164f3c45" targetNamespace="http://schemas.microsoft.com/office/2006/metadata/properties" ma:root="true" ma:fieldsID="1150c7b0336ea99fa867f76138f7be4f" ns2:_="" ns3:_="">
    <xsd:import namespace="fa2d91d3-104d-418f-b578-83fd40418d56"/>
    <xsd:import namespace="a73a3d98-899d-44cc-b57d-2644164f3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d91d3-104d-418f-b578-83fd40418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df16c215-902b-4987-88b3-f6bd58262b0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3a3d98-899d-44cc-b57d-2644164f3c4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502b7a4-f601-4529-97ff-4190fcd7be55}" ma:internalName="TaxCatchAll" ma:showField="CatchAllData" ma:web="a73a3d98-899d-44cc-b57d-2644164f3c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2d91d3-104d-418f-b578-83fd40418d56">
      <Terms xmlns="http://schemas.microsoft.com/office/infopath/2007/PartnerControls"/>
    </lcf76f155ced4ddcb4097134ff3c332f>
    <TaxCatchAll xmlns="a73a3d98-899d-44cc-b57d-2644164f3c4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A6C00-E375-4152-8FB8-E1E46E323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d91d3-104d-418f-b578-83fd40418d56"/>
    <ds:schemaRef ds:uri="a73a3d98-899d-44cc-b57d-2644164f3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640EA-C027-4ED8-8218-26AEDFEBBCE3}">
  <ds:schemaRefs>
    <ds:schemaRef ds:uri="http://schemas.openxmlformats.org/officeDocument/2006/bibliography"/>
  </ds:schemaRefs>
</ds:datastoreItem>
</file>

<file path=customXml/itemProps3.xml><?xml version="1.0" encoding="utf-8"?>
<ds:datastoreItem xmlns:ds="http://schemas.openxmlformats.org/officeDocument/2006/customXml" ds:itemID="{9CF4482D-B79C-4D1B-8404-A8E14908C895}">
  <ds:schemaRefs>
    <ds:schemaRef ds:uri="http://schemas.microsoft.com/office/2006/metadata/properties"/>
    <ds:schemaRef ds:uri="http://schemas.microsoft.com/office/infopath/2007/PartnerControls"/>
    <ds:schemaRef ds:uri="fa2d91d3-104d-418f-b578-83fd40418d56"/>
    <ds:schemaRef ds:uri="a73a3d98-899d-44cc-b57d-2644164f3c45"/>
  </ds:schemaRefs>
</ds:datastoreItem>
</file>

<file path=customXml/itemProps4.xml><?xml version="1.0" encoding="utf-8"?>
<ds:datastoreItem xmlns:ds="http://schemas.openxmlformats.org/officeDocument/2006/customXml" ds:itemID="{F94F1F82-CCF3-4C0D-A978-92AC529A0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1697</Words>
  <Characters>9334</Characters>
  <Application>Microsoft Office Word</Application>
  <DocSecurity>4</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&amp; E. van Kasteren B.V.</dc:creator>
  <cp:keywords/>
  <dc:description/>
  <cp:lastModifiedBy>Info | W &amp; E van Kasteren B.V.</cp:lastModifiedBy>
  <cp:revision>2</cp:revision>
  <cp:lastPrinted>2023-09-19T09:04:00Z</cp:lastPrinted>
  <dcterms:created xsi:type="dcterms:W3CDTF">2023-09-19T09:04:00Z</dcterms:created>
  <dcterms:modified xsi:type="dcterms:W3CDTF">2023-09-19T09:04:00Z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0x010100D97CA2E7E37DE4488FBCCD81B69B6E2B</vt:lpwstr>
  </property>
</Properties>
</file>